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3EB43A38"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2C3071">
        <w:rPr>
          <w:rFonts w:ascii="Arial" w:hAnsi="Arial" w:cs="Arial"/>
          <w:b/>
          <w:caps/>
          <w:lang w:val="en-GB"/>
        </w:rPr>
        <w:t>political science</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2910F6AF"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2C3071">
        <w:rPr>
          <w:rFonts w:ascii="Arial" w:hAnsi="Arial" w:cs="Arial"/>
          <w:b/>
          <w:caps/>
          <w:lang w:val="en-GB"/>
        </w:rPr>
        <w:t>vytautas magnus university</w:t>
      </w:r>
    </w:p>
    <w:p w14:paraId="0AA61D4E" w14:textId="2EF3A0F5" w:rsidR="0042467A" w:rsidRPr="00100E50" w:rsidRDefault="00437B9D"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17</w:t>
      </w:r>
      <w:r w:rsidRPr="00437B9D">
        <w:rPr>
          <w:rFonts w:ascii="Arial" w:hAnsi="Arial" w:cs="Arial"/>
          <w:b/>
          <w:caps/>
          <w:vertAlign w:val="superscript"/>
          <w:lang w:val="en-GB"/>
        </w:rPr>
        <w:t>th</w:t>
      </w:r>
      <w:r>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sidR="002C3071">
        <w:rPr>
          <w:rFonts w:ascii="Arial" w:hAnsi="Arial" w:cs="Arial"/>
          <w:b/>
          <w:color w:val="000000"/>
          <w:lang w:val="en-GB"/>
        </w:rPr>
        <w:t>19</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C4582" w:rsidRDefault="005D0FF7" w:rsidP="005D0FF7">
      <w:pPr>
        <w:jc w:val="center"/>
        <w:rPr>
          <w:rFonts w:asciiTheme="minorHAnsi" w:eastAsia="Calibri" w:hAnsiTheme="minorHAnsi" w:cstheme="minorHAnsi"/>
          <w:iCs/>
          <w:sz w:val="28"/>
          <w:szCs w:val="28"/>
          <w:lang w:val="en-GB" w:eastAsia="lt-LT"/>
        </w:rPr>
      </w:pPr>
      <w:r w:rsidRPr="005C4582">
        <w:rPr>
          <w:rFonts w:asciiTheme="minorHAnsi" w:eastAsia="Calibri" w:hAnsiTheme="minorHAnsi" w:cstheme="minorHAnsi"/>
          <w:iCs/>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6BBA499E" w:rsidR="005D0FF7" w:rsidRPr="003F1A39" w:rsidRDefault="002C3071"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POLITICAL SCIENCE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32127039" w:rsidR="005D0FF7" w:rsidRPr="003F1A39" w:rsidRDefault="002C3071"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Vytautas Magnus</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4F37A75D"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620295">
              <w:rPr>
                <w:rFonts w:ascii="Arial" w:eastAsia="Arial" w:hAnsi="Arial" w:cs="Arial"/>
              </w:rPr>
              <w:t>Prof. Stefan Gänzle</w:t>
            </w:r>
            <w:r w:rsidR="00620295" w:rsidRPr="00100E50">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124EA89E"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592E7A">
              <w:rPr>
                <w:rFonts w:ascii="Arial" w:eastAsia="Arial" w:hAnsi="Arial" w:cs="Arial"/>
              </w:rPr>
              <w:t>Prof. Anu Toots</w:t>
            </w:r>
          </w:p>
          <w:p w14:paraId="5B903357" w14:textId="4BFDBDCA"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6E0BFE">
              <w:rPr>
                <w:rFonts w:ascii="Arial" w:eastAsia="Arial" w:hAnsi="Arial" w:cs="Arial"/>
              </w:rPr>
              <w:t>Mr. Simonas Gaušas</w:t>
            </w:r>
          </w:p>
          <w:p w14:paraId="460E8438" w14:textId="44FF890B"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962A09">
              <w:rPr>
                <w:rFonts w:ascii="Arial" w:eastAsia="Arial" w:hAnsi="Arial" w:cs="Arial"/>
              </w:rPr>
              <w:t>Ms. Karolina Markauskaitė</w:t>
            </w:r>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57F09586"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68522F">
              <w:rPr>
                <w:rFonts w:ascii="Arial" w:eastAsia="Arial" w:hAnsi="Arial" w:cs="Arial"/>
              </w:rPr>
              <w:t>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24E3049F"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68522F">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TableGrid"/>
        <w:tblW w:w="5002" w:type="pct"/>
        <w:tblLayout w:type="fixed"/>
        <w:tblLook w:val="04A0" w:firstRow="1" w:lastRow="0" w:firstColumn="1" w:lastColumn="0" w:noHBand="0" w:noVBand="1"/>
      </w:tblPr>
      <w:tblGrid>
        <w:gridCol w:w="3291"/>
        <w:gridCol w:w="3241"/>
        <w:gridCol w:w="3241"/>
      </w:tblGrid>
      <w:tr w:rsidR="00DB55FE" w:rsidRPr="00F66E6A" w14:paraId="45C886B4" w14:textId="77777777" w:rsidTr="00DB55FE">
        <w:trPr>
          <w:trHeight w:val="510"/>
        </w:trPr>
        <w:tc>
          <w:tcPr>
            <w:tcW w:w="1684" w:type="pct"/>
            <w:shd w:val="clear" w:color="auto" w:fill="5B0009"/>
            <w:vAlign w:val="center"/>
          </w:tcPr>
          <w:p w14:paraId="581300FE"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427452B7" w14:textId="1870E911" w:rsidR="00DB55FE" w:rsidRPr="005C4582" w:rsidRDefault="00DB55FE" w:rsidP="00DB55FE">
            <w:pPr>
              <w:rPr>
                <w:rFonts w:asciiTheme="minorHAnsi" w:eastAsiaTheme="majorEastAsia" w:hAnsiTheme="minorHAnsi" w:cstheme="minorHAnsi"/>
                <w:b/>
                <w:iCs/>
                <w:sz w:val="22"/>
                <w:szCs w:val="22"/>
                <w:lang w:val="en-GB"/>
              </w:rPr>
            </w:pPr>
            <w:r w:rsidRPr="005C4582">
              <w:rPr>
                <w:rFonts w:ascii="Arial" w:eastAsia="Arial" w:hAnsi="Arial" w:cs="Arial"/>
                <w:b/>
                <w:sz w:val="22"/>
                <w:szCs w:val="22"/>
              </w:rPr>
              <w:t>Political Science</w:t>
            </w:r>
          </w:p>
        </w:tc>
        <w:tc>
          <w:tcPr>
            <w:tcW w:w="1658" w:type="pct"/>
            <w:shd w:val="clear" w:color="136C73" w:fill="FFFFFF" w:themeFill="background1"/>
            <w:vAlign w:val="center"/>
          </w:tcPr>
          <w:p w14:paraId="03961784" w14:textId="3EA9DF2F" w:rsidR="00DB55FE" w:rsidRPr="005C4582" w:rsidRDefault="00DB55FE" w:rsidP="00DB55FE">
            <w:pPr>
              <w:rPr>
                <w:rFonts w:asciiTheme="minorHAnsi" w:eastAsiaTheme="majorEastAsia" w:hAnsiTheme="minorHAnsi" w:cstheme="minorHAnsi"/>
                <w:b/>
                <w:iCs/>
                <w:sz w:val="22"/>
                <w:szCs w:val="22"/>
                <w:lang w:val="en-GB"/>
              </w:rPr>
            </w:pPr>
            <w:r w:rsidRPr="005C4582">
              <w:rPr>
                <w:rFonts w:ascii="Arial" w:eastAsia="Arial" w:hAnsi="Arial" w:cs="Arial"/>
                <w:b/>
                <w:sz w:val="22"/>
                <w:szCs w:val="22"/>
              </w:rPr>
              <w:t>World Politics and Economy</w:t>
            </w:r>
          </w:p>
        </w:tc>
      </w:tr>
      <w:tr w:rsidR="00DB55FE" w:rsidRPr="00F66E6A" w14:paraId="7DB994F0" w14:textId="77777777" w:rsidTr="00DB55FE">
        <w:trPr>
          <w:trHeight w:val="510"/>
        </w:trPr>
        <w:tc>
          <w:tcPr>
            <w:tcW w:w="1684" w:type="pct"/>
            <w:shd w:val="clear" w:color="auto" w:fill="5B0009"/>
            <w:vAlign w:val="center"/>
          </w:tcPr>
          <w:p w14:paraId="38E49131"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State code</w:t>
            </w:r>
          </w:p>
        </w:tc>
        <w:tc>
          <w:tcPr>
            <w:tcW w:w="1658" w:type="pct"/>
            <w:vAlign w:val="center"/>
          </w:tcPr>
          <w:p w14:paraId="4DF96311" w14:textId="15E3D5C9" w:rsidR="00DB55FE" w:rsidRPr="005C4582" w:rsidRDefault="00DB55FE" w:rsidP="00DB55FE">
            <w:pPr>
              <w:rPr>
                <w:rStyle w:val="fontstyle01"/>
                <w:rFonts w:asciiTheme="minorHAnsi" w:eastAsiaTheme="majorEastAsia" w:hAnsiTheme="minorHAnsi" w:cstheme="minorHAnsi"/>
                <w:bCs/>
                <w:iCs/>
                <w:sz w:val="22"/>
                <w:szCs w:val="22"/>
              </w:rPr>
            </w:pPr>
            <w:r w:rsidRPr="005C4582">
              <w:rPr>
                <w:rFonts w:ascii="Arial" w:eastAsia="Arial" w:hAnsi="Arial" w:cs="Arial"/>
                <w:sz w:val="22"/>
                <w:szCs w:val="22"/>
              </w:rPr>
              <w:t>6121JX038</w:t>
            </w:r>
          </w:p>
        </w:tc>
        <w:tc>
          <w:tcPr>
            <w:tcW w:w="1658" w:type="pct"/>
            <w:vAlign w:val="center"/>
          </w:tcPr>
          <w:p w14:paraId="735A5FEF" w14:textId="608D2CFA" w:rsidR="00DB55FE" w:rsidRPr="005C4582" w:rsidRDefault="00DB55FE" w:rsidP="00DB55FE">
            <w:pPr>
              <w:rPr>
                <w:rStyle w:val="fontstyle01"/>
                <w:rFonts w:asciiTheme="minorHAnsi" w:eastAsiaTheme="majorEastAsia" w:hAnsiTheme="minorHAnsi" w:cstheme="minorHAnsi"/>
                <w:bCs/>
                <w:iCs/>
                <w:sz w:val="22"/>
                <w:szCs w:val="22"/>
              </w:rPr>
            </w:pPr>
            <w:r w:rsidRPr="005C4582">
              <w:rPr>
                <w:rFonts w:ascii="Arial" w:eastAsia="Arial" w:hAnsi="Arial" w:cs="Arial"/>
                <w:sz w:val="22"/>
                <w:szCs w:val="22"/>
              </w:rPr>
              <w:t>6121JX037</w:t>
            </w:r>
          </w:p>
        </w:tc>
      </w:tr>
      <w:tr w:rsidR="00DB55FE" w:rsidRPr="00F66E6A" w14:paraId="0D1ADCDF" w14:textId="77777777" w:rsidTr="00DB55FE">
        <w:trPr>
          <w:trHeight w:val="510"/>
        </w:trPr>
        <w:tc>
          <w:tcPr>
            <w:tcW w:w="1684" w:type="pct"/>
            <w:shd w:val="clear" w:color="auto" w:fill="5B0009"/>
            <w:vAlign w:val="center"/>
          </w:tcPr>
          <w:p w14:paraId="5393BE76"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Type of study (college/university)</w:t>
            </w:r>
          </w:p>
        </w:tc>
        <w:tc>
          <w:tcPr>
            <w:tcW w:w="1658" w:type="pct"/>
            <w:vAlign w:val="center"/>
          </w:tcPr>
          <w:p w14:paraId="1BD0F41E" w14:textId="23034C10"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University</w:t>
            </w:r>
          </w:p>
        </w:tc>
        <w:tc>
          <w:tcPr>
            <w:tcW w:w="1658" w:type="pct"/>
            <w:vAlign w:val="center"/>
          </w:tcPr>
          <w:p w14:paraId="3A31ED27" w14:textId="5089C21A"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University</w:t>
            </w:r>
          </w:p>
        </w:tc>
      </w:tr>
      <w:tr w:rsidR="00DB55FE" w:rsidRPr="00F66E6A" w14:paraId="0AB16AAA" w14:textId="77777777" w:rsidTr="00DB55FE">
        <w:trPr>
          <w:trHeight w:val="510"/>
        </w:trPr>
        <w:tc>
          <w:tcPr>
            <w:tcW w:w="1684" w:type="pct"/>
            <w:shd w:val="clear" w:color="auto" w:fill="5B0009"/>
            <w:vAlign w:val="center"/>
          </w:tcPr>
          <w:p w14:paraId="5A98058A"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0B44B340" w14:textId="4FE83370"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Full-time, 4 years</w:t>
            </w:r>
          </w:p>
        </w:tc>
        <w:tc>
          <w:tcPr>
            <w:tcW w:w="1658" w:type="pct"/>
            <w:vAlign w:val="center"/>
          </w:tcPr>
          <w:p w14:paraId="659D5F70" w14:textId="1A0A4148"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Full-time, 4 years</w:t>
            </w:r>
          </w:p>
        </w:tc>
      </w:tr>
      <w:tr w:rsidR="00DB55FE" w:rsidRPr="00F66E6A" w14:paraId="1D1B07BD" w14:textId="77777777" w:rsidTr="00DB55FE">
        <w:trPr>
          <w:trHeight w:val="510"/>
        </w:trPr>
        <w:tc>
          <w:tcPr>
            <w:tcW w:w="1684" w:type="pct"/>
            <w:shd w:val="clear" w:color="auto" w:fill="5B0009"/>
            <w:vAlign w:val="center"/>
          </w:tcPr>
          <w:p w14:paraId="5355A365"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Workload in ECTS</w:t>
            </w:r>
          </w:p>
        </w:tc>
        <w:tc>
          <w:tcPr>
            <w:tcW w:w="1658" w:type="pct"/>
            <w:vAlign w:val="center"/>
          </w:tcPr>
          <w:p w14:paraId="22DFD214" w14:textId="167728B9"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240</w:t>
            </w:r>
          </w:p>
        </w:tc>
        <w:tc>
          <w:tcPr>
            <w:tcW w:w="1658" w:type="pct"/>
            <w:vAlign w:val="center"/>
          </w:tcPr>
          <w:p w14:paraId="7F8B0A13" w14:textId="7461F235"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240</w:t>
            </w:r>
          </w:p>
        </w:tc>
      </w:tr>
      <w:tr w:rsidR="00DB55FE" w:rsidRPr="00F66E6A" w14:paraId="075E577B" w14:textId="77777777" w:rsidTr="00DB55FE">
        <w:trPr>
          <w:trHeight w:val="510"/>
        </w:trPr>
        <w:tc>
          <w:tcPr>
            <w:tcW w:w="1684" w:type="pct"/>
            <w:shd w:val="clear" w:color="auto" w:fill="5B0009"/>
            <w:vAlign w:val="center"/>
          </w:tcPr>
          <w:p w14:paraId="31049662"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0F12D780" w14:textId="6C95D383"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Bachelors of Social Sciences</w:t>
            </w:r>
          </w:p>
        </w:tc>
        <w:tc>
          <w:tcPr>
            <w:tcW w:w="1658" w:type="pct"/>
            <w:vAlign w:val="center"/>
          </w:tcPr>
          <w:p w14:paraId="60E1FE53" w14:textId="4AE036F5"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Bachelors of Social Sciences</w:t>
            </w:r>
          </w:p>
        </w:tc>
      </w:tr>
      <w:tr w:rsidR="00DB55FE" w:rsidRPr="00F66E6A" w14:paraId="7AE32AF7" w14:textId="77777777" w:rsidTr="00DB55FE">
        <w:trPr>
          <w:trHeight w:val="510"/>
        </w:trPr>
        <w:tc>
          <w:tcPr>
            <w:tcW w:w="1684" w:type="pct"/>
            <w:shd w:val="clear" w:color="auto" w:fill="5B0009"/>
            <w:vAlign w:val="center"/>
          </w:tcPr>
          <w:p w14:paraId="494EC51A"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Language of instruction</w:t>
            </w:r>
          </w:p>
        </w:tc>
        <w:tc>
          <w:tcPr>
            <w:tcW w:w="1658" w:type="pct"/>
            <w:vAlign w:val="center"/>
          </w:tcPr>
          <w:p w14:paraId="292B9171" w14:textId="16A94446"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Lithuanian</w:t>
            </w:r>
          </w:p>
        </w:tc>
        <w:tc>
          <w:tcPr>
            <w:tcW w:w="1658" w:type="pct"/>
            <w:vAlign w:val="center"/>
          </w:tcPr>
          <w:p w14:paraId="077774C5" w14:textId="76AD0126"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English</w:t>
            </w:r>
          </w:p>
        </w:tc>
      </w:tr>
      <w:tr w:rsidR="00DB55FE" w:rsidRPr="00F66E6A" w14:paraId="46F37DB7" w14:textId="77777777" w:rsidTr="00DB55FE">
        <w:trPr>
          <w:trHeight w:val="510"/>
        </w:trPr>
        <w:tc>
          <w:tcPr>
            <w:tcW w:w="1684" w:type="pct"/>
            <w:shd w:val="clear" w:color="auto" w:fill="5B0009"/>
            <w:vAlign w:val="center"/>
          </w:tcPr>
          <w:p w14:paraId="77F44927"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Admission requirements</w:t>
            </w:r>
          </w:p>
        </w:tc>
        <w:tc>
          <w:tcPr>
            <w:tcW w:w="1658" w:type="pct"/>
            <w:vAlign w:val="center"/>
          </w:tcPr>
          <w:p w14:paraId="745DAB4D" w14:textId="66121932"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Secondary education</w:t>
            </w:r>
          </w:p>
        </w:tc>
        <w:tc>
          <w:tcPr>
            <w:tcW w:w="1658" w:type="pct"/>
            <w:vAlign w:val="center"/>
          </w:tcPr>
          <w:p w14:paraId="48819D7C" w14:textId="5F5D7FE2" w:rsidR="00DB55FE" w:rsidRPr="005C4582" w:rsidRDefault="00DB55FE" w:rsidP="00DB55FE">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Secondary education</w:t>
            </w:r>
          </w:p>
        </w:tc>
      </w:tr>
      <w:tr w:rsidR="00DB55FE" w:rsidRPr="00F66E6A" w14:paraId="31E1514A" w14:textId="77777777" w:rsidTr="00DB55FE">
        <w:trPr>
          <w:trHeight w:val="510"/>
        </w:trPr>
        <w:tc>
          <w:tcPr>
            <w:tcW w:w="1684" w:type="pct"/>
            <w:shd w:val="clear" w:color="auto" w:fill="5B0009"/>
            <w:vAlign w:val="center"/>
          </w:tcPr>
          <w:p w14:paraId="062AA6DB"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First registration date</w:t>
            </w:r>
          </w:p>
        </w:tc>
        <w:tc>
          <w:tcPr>
            <w:tcW w:w="1658" w:type="pct"/>
            <w:vAlign w:val="center"/>
          </w:tcPr>
          <w:p w14:paraId="6AA99A13" w14:textId="20FFF072" w:rsidR="00DB55FE" w:rsidRPr="005C4582" w:rsidRDefault="00DB55FE" w:rsidP="00DB55FE">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1997-05-19 Nr. 565 registered as “Politology”, 2001-08-01 title changed to “Political Science”</w:t>
            </w:r>
          </w:p>
        </w:tc>
        <w:tc>
          <w:tcPr>
            <w:tcW w:w="1658" w:type="pct"/>
            <w:vAlign w:val="center"/>
          </w:tcPr>
          <w:p w14:paraId="0788B1A2" w14:textId="15B81C1C" w:rsidR="00DB55FE" w:rsidRPr="005C4582" w:rsidRDefault="00DB55FE" w:rsidP="00DB55FE">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2013-05-08</w:t>
            </w:r>
          </w:p>
        </w:tc>
      </w:tr>
      <w:tr w:rsidR="00DB55FE" w:rsidRPr="00F66E6A" w14:paraId="33EBD91A" w14:textId="77777777" w:rsidTr="00DB55FE">
        <w:trPr>
          <w:trHeight w:val="510"/>
        </w:trPr>
        <w:tc>
          <w:tcPr>
            <w:tcW w:w="1684" w:type="pct"/>
            <w:shd w:val="clear" w:color="auto" w:fill="5B0009"/>
            <w:vAlign w:val="center"/>
          </w:tcPr>
          <w:p w14:paraId="2BF85E06" w14:textId="77777777" w:rsidR="00DB55FE" w:rsidRPr="005C4582" w:rsidRDefault="00DB55FE"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7BFBF347" w14:textId="531B17B7" w:rsidR="00DB55FE" w:rsidRPr="005C4582" w:rsidRDefault="00DB55FE" w:rsidP="00DB55FE">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N/A</w:t>
            </w:r>
          </w:p>
        </w:tc>
        <w:tc>
          <w:tcPr>
            <w:tcW w:w="1658" w:type="pct"/>
            <w:vAlign w:val="center"/>
          </w:tcPr>
          <w:p w14:paraId="0BB0F4D0" w14:textId="5169B480" w:rsidR="00DB55FE" w:rsidRPr="005C4582" w:rsidRDefault="00DB55FE" w:rsidP="00DB55FE">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N/A</w:t>
            </w:r>
          </w:p>
        </w:tc>
      </w:tr>
    </w:tbl>
    <w:p w14:paraId="5DAC51E3" w14:textId="77777777" w:rsidR="00E035D8" w:rsidRDefault="00E035D8" w:rsidP="005D0FF7">
      <w:pPr>
        <w:rPr>
          <w:rFonts w:asciiTheme="minorHAnsi" w:hAnsiTheme="minorHAnsi" w:cstheme="minorHAnsi"/>
          <w:iCs/>
          <w:color w:val="136C73"/>
          <w:sz w:val="22"/>
          <w:szCs w:val="22"/>
          <w:lang w:val="en-GB" w:eastAsia="lt-LT"/>
        </w:rPr>
      </w:pPr>
    </w:p>
    <w:p w14:paraId="74F5BC28" w14:textId="7E2292CA" w:rsidR="00DB55FE" w:rsidRPr="00DB55FE" w:rsidRDefault="00DB55FE"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TableGrid"/>
        <w:tblW w:w="5002" w:type="pct"/>
        <w:tblLayout w:type="fixed"/>
        <w:tblLook w:val="04A0" w:firstRow="1" w:lastRow="0" w:firstColumn="1" w:lastColumn="0" w:noHBand="0" w:noVBand="1"/>
      </w:tblPr>
      <w:tblGrid>
        <w:gridCol w:w="3291"/>
        <w:gridCol w:w="3241"/>
        <w:gridCol w:w="3241"/>
      </w:tblGrid>
      <w:tr w:rsidR="00141A16" w:rsidRPr="00F66E6A" w14:paraId="5F35FBAE" w14:textId="77777777" w:rsidTr="00615337">
        <w:trPr>
          <w:trHeight w:val="510"/>
        </w:trPr>
        <w:tc>
          <w:tcPr>
            <w:tcW w:w="1684" w:type="pct"/>
            <w:shd w:val="clear" w:color="auto" w:fill="5B0009"/>
            <w:vAlign w:val="center"/>
          </w:tcPr>
          <w:p w14:paraId="1077CFFE"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5F72EFDB" w14:textId="4B728F49" w:rsidR="00141A16" w:rsidRPr="005C4582" w:rsidRDefault="00141A16" w:rsidP="00141A16">
            <w:pPr>
              <w:rPr>
                <w:rFonts w:asciiTheme="minorHAnsi" w:eastAsiaTheme="majorEastAsia" w:hAnsiTheme="minorHAnsi" w:cstheme="minorHAnsi"/>
                <w:b/>
                <w:iCs/>
                <w:sz w:val="22"/>
                <w:szCs w:val="22"/>
                <w:lang w:val="en-GB"/>
              </w:rPr>
            </w:pPr>
            <w:r w:rsidRPr="005C4582">
              <w:rPr>
                <w:rFonts w:ascii="Arial" w:eastAsia="Arial" w:hAnsi="Arial" w:cs="Arial"/>
                <w:b/>
                <w:sz w:val="22"/>
                <w:szCs w:val="22"/>
              </w:rPr>
              <w:t>International Politics and Development Studies</w:t>
            </w:r>
          </w:p>
        </w:tc>
        <w:tc>
          <w:tcPr>
            <w:tcW w:w="1658" w:type="pct"/>
            <w:shd w:val="clear" w:color="136C73" w:fill="FFFFFF" w:themeFill="background1"/>
            <w:vAlign w:val="center"/>
          </w:tcPr>
          <w:p w14:paraId="57688152" w14:textId="04EFC9BA" w:rsidR="00141A16" w:rsidRPr="005C4582" w:rsidRDefault="00141A16" w:rsidP="00141A16">
            <w:pPr>
              <w:rPr>
                <w:rFonts w:asciiTheme="minorHAnsi" w:eastAsiaTheme="majorEastAsia" w:hAnsiTheme="minorHAnsi" w:cstheme="minorHAnsi"/>
                <w:b/>
                <w:iCs/>
                <w:sz w:val="22"/>
                <w:szCs w:val="22"/>
                <w:lang w:val="en-GB"/>
              </w:rPr>
            </w:pPr>
            <w:r w:rsidRPr="005C4582">
              <w:rPr>
                <w:rFonts w:ascii="Arial" w:eastAsia="Arial" w:hAnsi="Arial" w:cs="Arial"/>
                <w:b/>
                <w:sz w:val="22"/>
                <w:szCs w:val="22"/>
              </w:rPr>
              <w:t xml:space="preserve">Public Administration </w:t>
            </w:r>
          </w:p>
        </w:tc>
      </w:tr>
      <w:tr w:rsidR="00141A16" w:rsidRPr="00F66E6A" w14:paraId="5CD412C9" w14:textId="77777777" w:rsidTr="00615337">
        <w:trPr>
          <w:trHeight w:val="510"/>
        </w:trPr>
        <w:tc>
          <w:tcPr>
            <w:tcW w:w="1684" w:type="pct"/>
            <w:shd w:val="clear" w:color="auto" w:fill="5B0009"/>
            <w:vAlign w:val="center"/>
          </w:tcPr>
          <w:p w14:paraId="35053AB2"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1658" w:type="pct"/>
            <w:vAlign w:val="center"/>
          </w:tcPr>
          <w:p w14:paraId="24A99B81" w14:textId="7E1A8EC0" w:rsidR="00141A16" w:rsidRPr="005C4582" w:rsidRDefault="00141A16" w:rsidP="00141A16">
            <w:pPr>
              <w:rPr>
                <w:rStyle w:val="fontstyle01"/>
                <w:rFonts w:asciiTheme="minorHAnsi" w:eastAsiaTheme="majorEastAsia" w:hAnsiTheme="minorHAnsi" w:cstheme="minorHAnsi"/>
                <w:bCs/>
                <w:iCs/>
                <w:sz w:val="22"/>
                <w:szCs w:val="22"/>
              </w:rPr>
            </w:pPr>
            <w:r w:rsidRPr="005C4582">
              <w:rPr>
                <w:rFonts w:ascii="Arial" w:eastAsia="Arial" w:hAnsi="Arial" w:cs="Arial"/>
                <w:sz w:val="22"/>
                <w:szCs w:val="22"/>
              </w:rPr>
              <w:t>6121JX043</w:t>
            </w:r>
          </w:p>
        </w:tc>
        <w:tc>
          <w:tcPr>
            <w:tcW w:w="1658" w:type="pct"/>
            <w:vAlign w:val="center"/>
          </w:tcPr>
          <w:p w14:paraId="19BF595D" w14:textId="5BE36611" w:rsidR="00141A16" w:rsidRPr="005C4582" w:rsidRDefault="00141A16" w:rsidP="00141A16">
            <w:pPr>
              <w:rPr>
                <w:rStyle w:val="fontstyle01"/>
                <w:rFonts w:asciiTheme="minorHAnsi" w:eastAsiaTheme="majorEastAsia" w:hAnsiTheme="minorHAnsi" w:cstheme="minorHAnsi"/>
                <w:bCs/>
                <w:iCs/>
                <w:sz w:val="22"/>
                <w:szCs w:val="22"/>
              </w:rPr>
            </w:pPr>
            <w:r w:rsidRPr="005C4582">
              <w:rPr>
                <w:rFonts w:ascii="Arial" w:eastAsia="Arial" w:hAnsi="Arial" w:cs="Arial"/>
                <w:sz w:val="22"/>
                <w:szCs w:val="22"/>
              </w:rPr>
              <w:t>6122LJ001</w:t>
            </w:r>
          </w:p>
        </w:tc>
      </w:tr>
      <w:tr w:rsidR="00141A16" w:rsidRPr="00F66E6A" w14:paraId="4E8EC305" w14:textId="77777777" w:rsidTr="00615337">
        <w:trPr>
          <w:trHeight w:val="510"/>
        </w:trPr>
        <w:tc>
          <w:tcPr>
            <w:tcW w:w="1684" w:type="pct"/>
            <w:shd w:val="clear" w:color="auto" w:fill="5B0009"/>
            <w:vAlign w:val="center"/>
          </w:tcPr>
          <w:p w14:paraId="4EE1863B"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1658" w:type="pct"/>
            <w:vAlign w:val="center"/>
          </w:tcPr>
          <w:p w14:paraId="3CE75DC6" w14:textId="3DCF8001"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University</w:t>
            </w:r>
          </w:p>
        </w:tc>
        <w:tc>
          <w:tcPr>
            <w:tcW w:w="1658" w:type="pct"/>
            <w:vAlign w:val="center"/>
          </w:tcPr>
          <w:p w14:paraId="130554B1" w14:textId="5C6E7A6E"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University</w:t>
            </w:r>
          </w:p>
        </w:tc>
      </w:tr>
      <w:tr w:rsidR="00141A16" w:rsidRPr="00F66E6A" w14:paraId="459332FE" w14:textId="77777777" w:rsidTr="00615337">
        <w:trPr>
          <w:trHeight w:val="510"/>
        </w:trPr>
        <w:tc>
          <w:tcPr>
            <w:tcW w:w="1684" w:type="pct"/>
            <w:shd w:val="clear" w:color="auto" w:fill="5B0009"/>
            <w:vAlign w:val="center"/>
          </w:tcPr>
          <w:p w14:paraId="55DC83E9"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07BD6D78" w14:textId="155BC686"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Full-time, 4 years</w:t>
            </w:r>
          </w:p>
        </w:tc>
        <w:tc>
          <w:tcPr>
            <w:tcW w:w="1658" w:type="pct"/>
            <w:vAlign w:val="center"/>
          </w:tcPr>
          <w:p w14:paraId="091D56AF" w14:textId="7CDBC01E"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Full-time, 4 years</w:t>
            </w:r>
          </w:p>
        </w:tc>
      </w:tr>
      <w:tr w:rsidR="00141A16" w:rsidRPr="00F66E6A" w14:paraId="0285DC6E" w14:textId="77777777" w:rsidTr="00615337">
        <w:trPr>
          <w:trHeight w:val="510"/>
        </w:trPr>
        <w:tc>
          <w:tcPr>
            <w:tcW w:w="1684" w:type="pct"/>
            <w:shd w:val="clear" w:color="auto" w:fill="5B0009"/>
            <w:vAlign w:val="center"/>
          </w:tcPr>
          <w:p w14:paraId="3B1815B0"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1658" w:type="pct"/>
            <w:vAlign w:val="center"/>
          </w:tcPr>
          <w:p w14:paraId="2604CB7E" w14:textId="15663D01"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240</w:t>
            </w:r>
          </w:p>
        </w:tc>
        <w:tc>
          <w:tcPr>
            <w:tcW w:w="1658" w:type="pct"/>
            <w:vAlign w:val="center"/>
          </w:tcPr>
          <w:p w14:paraId="20FF7059" w14:textId="0E3F1DD1"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240</w:t>
            </w:r>
          </w:p>
        </w:tc>
      </w:tr>
      <w:tr w:rsidR="00141A16" w:rsidRPr="00F66E6A" w14:paraId="005A6E79" w14:textId="77777777" w:rsidTr="00615337">
        <w:trPr>
          <w:trHeight w:val="510"/>
        </w:trPr>
        <w:tc>
          <w:tcPr>
            <w:tcW w:w="1684" w:type="pct"/>
            <w:shd w:val="clear" w:color="auto" w:fill="5B0009"/>
            <w:vAlign w:val="center"/>
          </w:tcPr>
          <w:p w14:paraId="6466101F"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3A855CE4" w14:textId="26679539"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Bachelor of Social Sciences</w:t>
            </w:r>
          </w:p>
        </w:tc>
        <w:tc>
          <w:tcPr>
            <w:tcW w:w="1658" w:type="pct"/>
            <w:vAlign w:val="center"/>
          </w:tcPr>
          <w:p w14:paraId="29496953" w14:textId="6ED46B52"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Bachelor of Public Administration and Social Sciences</w:t>
            </w:r>
          </w:p>
        </w:tc>
      </w:tr>
      <w:tr w:rsidR="00141A16" w:rsidRPr="00F66E6A" w14:paraId="4F5321A7" w14:textId="77777777" w:rsidTr="00615337">
        <w:trPr>
          <w:trHeight w:val="510"/>
        </w:trPr>
        <w:tc>
          <w:tcPr>
            <w:tcW w:w="1684" w:type="pct"/>
            <w:shd w:val="clear" w:color="auto" w:fill="5B0009"/>
            <w:vAlign w:val="center"/>
          </w:tcPr>
          <w:p w14:paraId="284CB8DA"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1658" w:type="pct"/>
            <w:vAlign w:val="center"/>
          </w:tcPr>
          <w:p w14:paraId="225C5313" w14:textId="66260ACB"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English</w:t>
            </w:r>
          </w:p>
        </w:tc>
        <w:tc>
          <w:tcPr>
            <w:tcW w:w="1658" w:type="pct"/>
            <w:vAlign w:val="center"/>
          </w:tcPr>
          <w:p w14:paraId="4AEBB387" w14:textId="5C78FE10"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Lithuanian</w:t>
            </w:r>
          </w:p>
        </w:tc>
      </w:tr>
      <w:tr w:rsidR="00141A16" w:rsidRPr="00F66E6A" w14:paraId="6F06C79E" w14:textId="77777777" w:rsidTr="00615337">
        <w:trPr>
          <w:trHeight w:val="510"/>
        </w:trPr>
        <w:tc>
          <w:tcPr>
            <w:tcW w:w="1684" w:type="pct"/>
            <w:shd w:val="clear" w:color="auto" w:fill="5B0009"/>
            <w:vAlign w:val="center"/>
          </w:tcPr>
          <w:p w14:paraId="433ED4D1"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1658" w:type="pct"/>
            <w:vAlign w:val="center"/>
          </w:tcPr>
          <w:p w14:paraId="5C7724E6" w14:textId="28B7905E"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Secondary education</w:t>
            </w:r>
          </w:p>
        </w:tc>
        <w:tc>
          <w:tcPr>
            <w:tcW w:w="1658" w:type="pct"/>
            <w:vAlign w:val="center"/>
          </w:tcPr>
          <w:p w14:paraId="61CF76A0" w14:textId="252A36D9" w:rsidR="00141A16" w:rsidRPr="005C4582" w:rsidRDefault="00141A16" w:rsidP="00141A16">
            <w:pPr>
              <w:rPr>
                <w:rFonts w:asciiTheme="minorHAnsi" w:eastAsiaTheme="majorEastAsia" w:hAnsiTheme="minorHAnsi" w:cstheme="minorHAnsi"/>
                <w:bCs/>
                <w:iCs/>
                <w:sz w:val="22"/>
                <w:szCs w:val="22"/>
                <w:lang w:val="en-GB"/>
              </w:rPr>
            </w:pPr>
            <w:r w:rsidRPr="005C4582">
              <w:rPr>
                <w:rFonts w:ascii="Arial" w:eastAsia="Arial" w:hAnsi="Arial" w:cs="Arial"/>
                <w:sz w:val="22"/>
                <w:szCs w:val="22"/>
              </w:rPr>
              <w:t>Secondary education</w:t>
            </w:r>
          </w:p>
        </w:tc>
      </w:tr>
      <w:tr w:rsidR="00141A16" w:rsidRPr="00F66E6A" w14:paraId="42A265C0" w14:textId="77777777" w:rsidTr="00615337">
        <w:trPr>
          <w:trHeight w:val="510"/>
        </w:trPr>
        <w:tc>
          <w:tcPr>
            <w:tcW w:w="1684" w:type="pct"/>
            <w:shd w:val="clear" w:color="auto" w:fill="5B0009"/>
            <w:vAlign w:val="center"/>
          </w:tcPr>
          <w:p w14:paraId="7224DD06"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1658" w:type="pct"/>
            <w:vAlign w:val="center"/>
          </w:tcPr>
          <w:p w14:paraId="0B402D4A" w14:textId="5F86EE5C" w:rsidR="00141A16" w:rsidRPr="005C4582" w:rsidRDefault="00141A16" w:rsidP="00141A16">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2012-03-20</w:t>
            </w:r>
          </w:p>
        </w:tc>
        <w:tc>
          <w:tcPr>
            <w:tcW w:w="1658" w:type="pct"/>
            <w:vAlign w:val="center"/>
          </w:tcPr>
          <w:p w14:paraId="381617F8" w14:textId="56731CDB" w:rsidR="00141A16" w:rsidRPr="005C4582" w:rsidRDefault="00141A16" w:rsidP="00141A16">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Registered as study program of two study fields 2019-10-18</w:t>
            </w:r>
          </w:p>
        </w:tc>
      </w:tr>
      <w:tr w:rsidR="00141A16" w:rsidRPr="00F66E6A" w14:paraId="73A28765" w14:textId="77777777" w:rsidTr="00615337">
        <w:trPr>
          <w:trHeight w:val="510"/>
        </w:trPr>
        <w:tc>
          <w:tcPr>
            <w:tcW w:w="1684" w:type="pct"/>
            <w:shd w:val="clear" w:color="auto" w:fill="5B0009"/>
            <w:vAlign w:val="center"/>
          </w:tcPr>
          <w:p w14:paraId="6B265CBA" w14:textId="77777777" w:rsidR="00141A16" w:rsidRPr="00E035D8" w:rsidRDefault="00141A16" w:rsidP="00141A16">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39C02D94" w14:textId="1926EACF" w:rsidR="00141A16" w:rsidRPr="005C4582" w:rsidRDefault="00141A16" w:rsidP="00141A16">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N/A</w:t>
            </w:r>
          </w:p>
        </w:tc>
        <w:tc>
          <w:tcPr>
            <w:tcW w:w="1658" w:type="pct"/>
            <w:vAlign w:val="center"/>
          </w:tcPr>
          <w:p w14:paraId="1CA150B9" w14:textId="050AB43C" w:rsidR="00141A16" w:rsidRPr="005C4582" w:rsidRDefault="00141A16" w:rsidP="00141A16">
            <w:pPr>
              <w:rPr>
                <w:rStyle w:val="fontstyle01"/>
                <w:rFonts w:asciiTheme="minorHAnsi" w:eastAsiaTheme="majorEastAsia" w:hAnsiTheme="minorHAnsi" w:cstheme="minorHAnsi"/>
                <w:bCs/>
                <w:iCs/>
                <w:sz w:val="22"/>
                <w:szCs w:val="22"/>
                <w:lang w:val="en-GB"/>
              </w:rPr>
            </w:pPr>
            <w:r w:rsidRPr="005C4582">
              <w:rPr>
                <w:rFonts w:ascii="Arial" w:eastAsia="Arial" w:hAnsi="Arial" w:cs="Arial"/>
                <w:sz w:val="22"/>
                <w:szCs w:val="22"/>
              </w:rPr>
              <w:t>Two study field program</w:t>
            </w:r>
          </w:p>
        </w:tc>
      </w:tr>
    </w:tbl>
    <w:p w14:paraId="45E7B268" w14:textId="77777777" w:rsidR="00DB55FE" w:rsidRDefault="00DB55FE" w:rsidP="005D0FF7">
      <w:pPr>
        <w:rPr>
          <w:rFonts w:asciiTheme="minorHAnsi" w:hAnsiTheme="minorHAnsi" w:cstheme="minorHAnsi"/>
          <w:iCs/>
          <w:color w:val="136C73"/>
          <w:sz w:val="22"/>
          <w:szCs w:val="22"/>
          <w:lang w:val="en-GB" w:eastAsia="lt-LT"/>
        </w:rPr>
      </w:pPr>
    </w:p>
    <w:p w14:paraId="6EB77E5E" w14:textId="77777777" w:rsidR="00DB55FE" w:rsidRPr="00F66E6A" w:rsidRDefault="00DB55FE" w:rsidP="005D0FF7">
      <w:pPr>
        <w:rPr>
          <w:rFonts w:asciiTheme="minorHAnsi" w:hAnsiTheme="minorHAnsi" w:cstheme="minorHAnsi"/>
          <w:iCs/>
          <w:color w:val="136C73"/>
          <w:sz w:val="22"/>
          <w:szCs w:val="22"/>
          <w:lang w:val="en-GB" w:eastAsia="lt-LT"/>
        </w:rPr>
      </w:pPr>
    </w:p>
    <w:p w14:paraId="2B0D37F0" w14:textId="77777777" w:rsidR="005C4582" w:rsidRDefault="005C4582" w:rsidP="005D0FF7">
      <w:pPr>
        <w:rPr>
          <w:rFonts w:ascii="Arial" w:hAnsi="Arial" w:cs="Arial"/>
          <w:b/>
          <w:bCs/>
          <w:iCs/>
          <w:color w:val="5B0009"/>
          <w:sz w:val="22"/>
          <w:szCs w:val="22"/>
          <w:lang w:val="en-GB" w:eastAsia="lt-LT"/>
        </w:rPr>
      </w:pPr>
    </w:p>
    <w:p w14:paraId="51D98514" w14:textId="77777777" w:rsidR="005C4582" w:rsidRDefault="005C4582" w:rsidP="005D0FF7">
      <w:pPr>
        <w:rPr>
          <w:rFonts w:ascii="Arial" w:hAnsi="Arial" w:cs="Arial"/>
          <w:b/>
          <w:bCs/>
          <w:iCs/>
          <w:color w:val="5B0009"/>
          <w:sz w:val="22"/>
          <w:szCs w:val="22"/>
          <w:lang w:val="en-GB" w:eastAsia="lt-LT"/>
        </w:rPr>
      </w:pPr>
    </w:p>
    <w:p w14:paraId="3E3D3A06" w14:textId="3527C5BC"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lastRenderedPageBreak/>
        <w:t>Second cycle/LTQF 7</w:t>
      </w:r>
    </w:p>
    <w:tbl>
      <w:tblPr>
        <w:tblStyle w:val="TableGrid"/>
        <w:tblW w:w="5000" w:type="pct"/>
        <w:tblLayout w:type="fixed"/>
        <w:tblLook w:val="04A0" w:firstRow="1" w:lastRow="0" w:firstColumn="1" w:lastColumn="0" w:noHBand="0" w:noVBand="1"/>
      </w:tblPr>
      <w:tblGrid>
        <w:gridCol w:w="2475"/>
        <w:gridCol w:w="2432"/>
        <w:gridCol w:w="2431"/>
        <w:gridCol w:w="2431"/>
      </w:tblGrid>
      <w:tr w:rsidR="00955567" w:rsidRPr="005C4582" w14:paraId="6E4227D1" w14:textId="5079184D" w:rsidTr="000A1C97">
        <w:trPr>
          <w:trHeight w:val="510"/>
        </w:trPr>
        <w:tc>
          <w:tcPr>
            <w:tcW w:w="1267" w:type="pct"/>
            <w:shd w:val="clear" w:color="auto" w:fill="5B0009"/>
            <w:vAlign w:val="center"/>
          </w:tcPr>
          <w:p w14:paraId="4DE7CFD8"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Title of the study programme</w:t>
            </w:r>
          </w:p>
        </w:tc>
        <w:tc>
          <w:tcPr>
            <w:tcW w:w="1245" w:type="pct"/>
            <w:shd w:val="clear" w:color="136C73" w:fill="FFFFFF" w:themeFill="background1"/>
            <w:vAlign w:val="center"/>
          </w:tcPr>
          <w:p w14:paraId="511D7F3D" w14:textId="0E28FADF" w:rsidR="00955567" w:rsidRPr="005C4582" w:rsidRDefault="00955567" w:rsidP="00955567">
            <w:pPr>
              <w:rPr>
                <w:rFonts w:ascii="Arial" w:eastAsiaTheme="majorEastAsia" w:hAnsi="Arial" w:cs="Arial"/>
                <w:b/>
                <w:iCs/>
                <w:sz w:val="22"/>
                <w:szCs w:val="22"/>
                <w:lang w:val="en-GB"/>
              </w:rPr>
            </w:pPr>
            <w:r w:rsidRPr="005C4582">
              <w:rPr>
                <w:rFonts w:ascii="Arial" w:eastAsia="Arial" w:hAnsi="Arial" w:cs="Arial"/>
                <w:b/>
                <w:sz w:val="22"/>
                <w:szCs w:val="22"/>
              </w:rPr>
              <w:t>Diplomacy and International Relations</w:t>
            </w:r>
          </w:p>
        </w:tc>
        <w:tc>
          <w:tcPr>
            <w:tcW w:w="1244" w:type="pct"/>
            <w:shd w:val="clear" w:color="136C73" w:fill="FFFFFF" w:themeFill="background1"/>
            <w:vAlign w:val="center"/>
          </w:tcPr>
          <w:p w14:paraId="73A724F8" w14:textId="552CF9B4" w:rsidR="00955567" w:rsidRPr="005C4582" w:rsidRDefault="00955567" w:rsidP="00955567">
            <w:pPr>
              <w:rPr>
                <w:rFonts w:ascii="Arial" w:eastAsiaTheme="majorEastAsia" w:hAnsi="Arial" w:cs="Arial"/>
                <w:b/>
                <w:iCs/>
                <w:sz w:val="22"/>
                <w:szCs w:val="22"/>
                <w:lang w:val="en-GB"/>
              </w:rPr>
            </w:pPr>
            <w:r w:rsidRPr="005C4582">
              <w:rPr>
                <w:rFonts w:ascii="Arial" w:eastAsia="Arial" w:hAnsi="Arial" w:cs="Arial"/>
                <w:b/>
                <w:sz w:val="22"/>
                <w:szCs w:val="22"/>
              </w:rPr>
              <w:t>Contemporary European Politics</w:t>
            </w:r>
          </w:p>
        </w:tc>
        <w:tc>
          <w:tcPr>
            <w:tcW w:w="1244" w:type="pct"/>
            <w:shd w:val="clear" w:color="136C73" w:fill="FFFFFF" w:themeFill="background1"/>
            <w:vAlign w:val="center"/>
          </w:tcPr>
          <w:p w14:paraId="50A62FBE" w14:textId="39744D2D" w:rsidR="00955567" w:rsidRPr="005C4582" w:rsidRDefault="00955567" w:rsidP="00955567">
            <w:pPr>
              <w:rPr>
                <w:rFonts w:ascii="Arial" w:eastAsiaTheme="majorEastAsia" w:hAnsi="Arial" w:cs="Arial"/>
                <w:b/>
                <w:iCs/>
                <w:sz w:val="22"/>
                <w:szCs w:val="22"/>
                <w:lang w:val="en-GB"/>
              </w:rPr>
            </w:pPr>
            <w:r w:rsidRPr="005C4582">
              <w:rPr>
                <w:rFonts w:ascii="Arial" w:eastAsia="Arial" w:hAnsi="Arial" w:cs="Arial"/>
                <w:b/>
                <w:sz w:val="22"/>
                <w:szCs w:val="22"/>
              </w:rPr>
              <w:t>Eastern European Studies and Research</w:t>
            </w:r>
          </w:p>
        </w:tc>
      </w:tr>
      <w:tr w:rsidR="00955567" w:rsidRPr="005C4582" w14:paraId="0812F604" w14:textId="48E19C99" w:rsidTr="000A1C97">
        <w:trPr>
          <w:trHeight w:val="510"/>
        </w:trPr>
        <w:tc>
          <w:tcPr>
            <w:tcW w:w="1267" w:type="pct"/>
            <w:shd w:val="clear" w:color="auto" w:fill="5B0009"/>
            <w:vAlign w:val="center"/>
          </w:tcPr>
          <w:p w14:paraId="7AFE6227"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State code</w:t>
            </w:r>
          </w:p>
        </w:tc>
        <w:tc>
          <w:tcPr>
            <w:tcW w:w="1245" w:type="pct"/>
            <w:vAlign w:val="center"/>
          </w:tcPr>
          <w:p w14:paraId="0C085B4C" w14:textId="3DC18892" w:rsidR="00955567" w:rsidRPr="005C4582" w:rsidRDefault="00955567" w:rsidP="00955567">
            <w:pPr>
              <w:rPr>
                <w:rStyle w:val="fontstyle01"/>
                <w:rFonts w:ascii="Arial" w:eastAsiaTheme="majorEastAsia" w:hAnsi="Arial" w:cs="Arial"/>
                <w:bCs/>
                <w:iCs/>
                <w:sz w:val="22"/>
                <w:szCs w:val="22"/>
              </w:rPr>
            </w:pPr>
            <w:r w:rsidRPr="005C4582">
              <w:rPr>
                <w:rFonts w:ascii="Arial" w:eastAsia="Arial" w:hAnsi="Arial" w:cs="Arial"/>
                <w:sz w:val="22"/>
                <w:szCs w:val="22"/>
              </w:rPr>
              <w:t>6211JX049</w:t>
            </w:r>
          </w:p>
        </w:tc>
        <w:tc>
          <w:tcPr>
            <w:tcW w:w="1244" w:type="pct"/>
            <w:vAlign w:val="center"/>
          </w:tcPr>
          <w:p w14:paraId="37A32017" w14:textId="44A11EFB" w:rsidR="00955567" w:rsidRPr="005C4582" w:rsidRDefault="00955567" w:rsidP="00955567">
            <w:pPr>
              <w:rPr>
                <w:rFonts w:ascii="Arial" w:eastAsiaTheme="majorEastAsia" w:hAnsi="Arial" w:cs="Arial"/>
                <w:bCs/>
                <w:iCs/>
                <w:sz w:val="22"/>
                <w:szCs w:val="22"/>
              </w:rPr>
            </w:pPr>
            <w:r w:rsidRPr="005C4582">
              <w:rPr>
                <w:rFonts w:ascii="Arial" w:eastAsia="Arial" w:hAnsi="Arial" w:cs="Arial"/>
                <w:sz w:val="22"/>
                <w:szCs w:val="22"/>
              </w:rPr>
              <w:t>6211JX055</w:t>
            </w:r>
          </w:p>
        </w:tc>
        <w:tc>
          <w:tcPr>
            <w:tcW w:w="1244" w:type="pct"/>
            <w:vAlign w:val="center"/>
          </w:tcPr>
          <w:p w14:paraId="12417BAB" w14:textId="742E6A22" w:rsidR="00955567" w:rsidRPr="005C4582" w:rsidRDefault="00955567" w:rsidP="00955567">
            <w:pPr>
              <w:rPr>
                <w:rFonts w:ascii="Arial" w:eastAsiaTheme="majorEastAsia" w:hAnsi="Arial" w:cs="Arial"/>
                <w:bCs/>
                <w:iCs/>
                <w:sz w:val="22"/>
                <w:szCs w:val="22"/>
              </w:rPr>
            </w:pPr>
            <w:r w:rsidRPr="005C4582">
              <w:rPr>
                <w:rFonts w:ascii="Arial" w:eastAsia="Arial" w:hAnsi="Arial" w:cs="Arial"/>
                <w:sz w:val="22"/>
                <w:szCs w:val="22"/>
              </w:rPr>
              <w:t>6281JX001</w:t>
            </w:r>
          </w:p>
        </w:tc>
      </w:tr>
      <w:tr w:rsidR="00955567" w:rsidRPr="005C4582" w14:paraId="085D76DC" w14:textId="706F5316" w:rsidTr="000A1C97">
        <w:trPr>
          <w:trHeight w:val="510"/>
        </w:trPr>
        <w:tc>
          <w:tcPr>
            <w:tcW w:w="1267" w:type="pct"/>
            <w:shd w:val="clear" w:color="auto" w:fill="5B0009"/>
            <w:vAlign w:val="center"/>
          </w:tcPr>
          <w:p w14:paraId="5A749AE5"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Type of study (college/university)</w:t>
            </w:r>
          </w:p>
        </w:tc>
        <w:tc>
          <w:tcPr>
            <w:tcW w:w="1245" w:type="pct"/>
            <w:vAlign w:val="center"/>
          </w:tcPr>
          <w:p w14:paraId="466719CF" w14:textId="33AA8A38"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University</w:t>
            </w:r>
          </w:p>
        </w:tc>
        <w:tc>
          <w:tcPr>
            <w:tcW w:w="1244" w:type="pct"/>
            <w:vAlign w:val="center"/>
          </w:tcPr>
          <w:p w14:paraId="7C55F323" w14:textId="30856787"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University</w:t>
            </w:r>
          </w:p>
        </w:tc>
        <w:tc>
          <w:tcPr>
            <w:tcW w:w="1244" w:type="pct"/>
            <w:vAlign w:val="center"/>
          </w:tcPr>
          <w:p w14:paraId="79D36854" w14:textId="08E17013"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University</w:t>
            </w:r>
          </w:p>
        </w:tc>
      </w:tr>
      <w:tr w:rsidR="00955567" w:rsidRPr="005C4582" w14:paraId="22BFB7CB" w14:textId="31D9D1D4" w:rsidTr="000A1C97">
        <w:trPr>
          <w:trHeight w:val="510"/>
        </w:trPr>
        <w:tc>
          <w:tcPr>
            <w:tcW w:w="1267" w:type="pct"/>
            <w:shd w:val="clear" w:color="auto" w:fill="5B0009"/>
            <w:vAlign w:val="center"/>
          </w:tcPr>
          <w:p w14:paraId="04A59431"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Mode of study (full time/part time) and nominal duration (in years)</w:t>
            </w:r>
          </w:p>
        </w:tc>
        <w:tc>
          <w:tcPr>
            <w:tcW w:w="1245" w:type="pct"/>
            <w:vAlign w:val="center"/>
          </w:tcPr>
          <w:p w14:paraId="5F32CD1A" w14:textId="4B954E10"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Full-time, 2 years</w:t>
            </w:r>
          </w:p>
        </w:tc>
        <w:tc>
          <w:tcPr>
            <w:tcW w:w="1244" w:type="pct"/>
            <w:vAlign w:val="center"/>
          </w:tcPr>
          <w:p w14:paraId="3AF34C37" w14:textId="39E08864"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Full-time, 1,5 years</w:t>
            </w:r>
          </w:p>
        </w:tc>
        <w:tc>
          <w:tcPr>
            <w:tcW w:w="1244" w:type="pct"/>
            <w:vAlign w:val="center"/>
          </w:tcPr>
          <w:p w14:paraId="0C538650" w14:textId="75DD303A"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Full-time, 2 years</w:t>
            </w:r>
          </w:p>
        </w:tc>
      </w:tr>
      <w:tr w:rsidR="00955567" w:rsidRPr="005C4582" w14:paraId="12BC31B4" w14:textId="6E83DFF2" w:rsidTr="000A1C97">
        <w:trPr>
          <w:trHeight w:val="510"/>
        </w:trPr>
        <w:tc>
          <w:tcPr>
            <w:tcW w:w="1267" w:type="pct"/>
            <w:shd w:val="clear" w:color="auto" w:fill="5B0009"/>
            <w:vAlign w:val="center"/>
          </w:tcPr>
          <w:p w14:paraId="2FFAAA1C"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Workload in ECTS</w:t>
            </w:r>
          </w:p>
        </w:tc>
        <w:tc>
          <w:tcPr>
            <w:tcW w:w="1245" w:type="pct"/>
            <w:vAlign w:val="center"/>
          </w:tcPr>
          <w:p w14:paraId="3E5CB2F6" w14:textId="41902159"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120</w:t>
            </w:r>
          </w:p>
        </w:tc>
        <w:tc>
          <w:tcPr>
            <w:tcW w:w="1244" w:type="pct"/>
            <w:vAlign w:val="center"/>
          </w:tcPr>
          <w:p w14:paraId="054A6974" w14:textId="515C2BF9"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90</w:t>
            </w:r>
          </w:p>
        </w:tc>
        <w:tc>
          <w:tcPr>
            <w:tcW w:w="1244" w:type="pct"/>
            <w:vAlign w:val="center"/>
          </w:tcPr>
          <w:p w14:paraId="54333821" w14:textId="580FC4B9"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120</w:t>
            </w:r>
          </w:p>
        </w:tc>
      </w:tr>
      <w:tr w:rsidR="00955567" w:rsidRPr="005C4582" w14:paraId="05919EC9" w14:textId="6B1ED085" w:rsidTr="000A1C97">
        <w:trPr>
          <w:trHeight w:val="510"/>
        </w:trPr>
        <w:tc>
          <w:tcPr>
            <w:tcW w:w="1267" w:type="pct"/>
            <w:shd w:val="clear" w:color="auto" w:fill="5B0009"/>
            <w:vAlign w:val="center"/>
          </w:tcPr>
          <w:p w14:paraId="58CB8075"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Award (degree and/or professional qualification)</w:t>
            </w:r>
          </w:p>
        </w:tc>
        <w:tc>
          <w:tcPr>
            <w:tcW w:w="1245" w:type="pct"/>
            <w:vAlign w:val="center"/>
          </w:tcPr>
          <w:p w14:paraId="120BFFF1" w14:textId="6FFAE22B"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Master of Social Sciences</w:t>
            </w:r>
          </w:p>
        </w:tc>
        <w:tc>
          <w:tcPr>
            <w:tcW w:w="1244" w:type="pct"/>
            <w:vAlign w:val="center"/>
          </w:tcPr>
          <w:p w14:paraId="7166888E" w14:textId="06C37A38"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Master of Social Sciences</w:t>
            </w:r>
          </w:p>
        </w:tc>
        <w:tc>
          <w:tcPr>
            <w:tcW w:w="1244" w:type="pct"/>
            <w:vAlign w:val="center"/>
          </w:tcPr>
          <w:p w14:paraId="18327E99" w14:textId="14346DB8"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Master of Political Science</w:t>
            </w:r>
          </w:p>
        </w:tc>
      </w:tr>
      <w:tr w:rsidR="00955567" w:rsidRPr="005C4582" w14:paraId="37A01FDA" w14:textId="48ECEC66" w:rsidTr="000A1C97">
        <w:trPr>
          <w:trHeight w:val="510"/>
        </w:trPr>
        <w:tc>
          <w:tcPr>
            <w:tcW w:w="1267" w:type="pct"/>
            <w:shd w:val="clear" w:color="auto" w:fill="5B0009"/>
            <w:vAlign w:val="center"/>
          </w:tcPr>
          <w:p w14:paraId="3E852769"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Language of instruction</w:t>
            </w:r>
          </w:p>
        </w:tc>
        <w:tc>
          <w:tcPr>
            <w:tcW w:w="1245" w:type="pct"/>
            <w:vAlign w:val="center"/>
          </w:tcPr>
          <w:p w14:paraId="1545CF4C" w14:textId="3A61E83D"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English</w:t>
            </w:r>
          </w:p>
        </w:tc>
        <w:tc>
          <w:tcPr>
            <w:tcW w:w="1244" w:type="pct"/>
            <w:vAlign w:val="center"/>
          </w:tcPr>
          <w:p w14:paraId="322E5C85" w14:textId="59172F12"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Lithuanian</w:t>
            </w:r>
          </w:p>
        </w:tc>
        <w:tc>
          <w:tcPr>
            <w:tcW w:w="1244" w:type="pct"/>
            <w:vAlign w:val="center"/>
          </w:tcPr>
          <w:p w14:paraId="4435F3A6" w14:textId="6975A73E"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English</w:t>
            </w:r>
          </w:p>
        </w:tc>
      </w:tr>
      <w:tr w:rsidR="00955567" w:rsidRPr="005C4582" w14:paraId="53D6FE5B" w14:textId="45AF463D" w:rsidTr="000A1C97">
        <w:trPr>
          <w:trHeight w:val="510"/>
        </w:trPr>
        <w:tc>
          <w:tcPr>
            <w:tcW w:w="1267" w:type="pct"/>
            <w:shd w:val="clear" w:color="auto" w:fill="5B0009"/>
            <w:vAlign w:val="center"/>
          </w:tcPr>
          <w:p w14:paraId="14F2B741"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Admission requirements</w:t>
            </w:r>
          </w:p>
        </w:tc>
        <w:tc>
          <w:tcPr>
            <w:tcW w:w="1245" w:type="pct"/>
            <w:vAlign w:val="center"/>
          </w:tcPr>
          <w:p w14:paraId="3E6CEFE9" w14:textId="619DF054"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Bachelor’s degree</w:t>
            </w:r>
          </w:p>
        </w:tc>
        <w:tc>
          <w:tcPr>
            <w:tcW w:w="1244" w:type="pct"/>
            <w:vAlign w:val="center"/>
          </w:tcPr>
          <w:p w14:paraId="743C996E" w14:textId="0319BB8F"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Bachelor’s degree</w:t>
            </w:r>
          </w:p>
        </w:tc>
        <w:tc>
          <w:tcPr>
            <w:tcW w:w="1244" w:type="pct"/>
            <w:vAlign w:val="center"/>
          </w:tcPr>
          <w:p w14:paraId="702673DD" w14:textId="0D3D05CA"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Bachelor’s degree</w:t>
            </w:r>
          </w:p>
        </w:tc>
      </w:tr>
      <w:tr w:rsidR="00955567" w:rsidRPr="005C4582" w14:paraId="4563CE2F" w14:textId="699D1CC2" w:rsidTr="000A1C97">
        <w:trPr>
          <w:trHeight w:val="510"/>
        </w:trPr>
        <w:tc>
          <w:tcPr>
            <w:tcW w:w="1267" w:type="pct"/>
            <w:shd w:val="clear" w:color="auto" w:fill="5B0009"/>
            <w:vAlign w:val="center"/>
          </w:tcPr>
          <w:p w14:paraId="79E8CA63"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First registration date</w:t>
            </w:r>
          </w:p>
        </w:tc>
        <w:tc>
          <w:tcPr>
            <w:tcW w:w="1245" w:type="pct"/>
            <w:vAlign w:val="center"/>
          </w:tcPr>
          <w:p w14:paraId="72A9364B" w14:textId="7913C9A2" w:rsidR="00955567" w:rsidRPr="005C4582" w:rsidRDefault="00955567" w:rsidP="00955567">
            <w:pPr>
              <w:rPr>
                <w:rStyle w:val="fontstyle01"/>
                <w:rFonts w:ascii="Arial" w:eastAsiaTheme="majorEastAsia" w:hAnsi="Arial" w:cs="Arial"/>
                <w:bCs/>
                <w:iCs/>
                <w:sz w:val="22"/>
                <w:szCs w:val="22"/>
                <w:lang w:val="en-GB"/>
              </w:rPr>
            </w:pPr>
            <w:r w:rsidRPr="005C4582">
              <w:rPr>
                <w:rFonts w:ascii="Arial" w:eastAsia="Arial" w:hAnsi="Arial" w:cs="Arial"/>
                <w:sz w:val="22"/>
                <w:szCs w:val="22"/>
              </w:rPr>
              <w:t>2001-08-02</w:t>
            </w:r>
          </w:p>
        </w:tc>
        <w:tc>
          <w:tcPr>
            <w:tcW w:w="1244" w:type="pct"/>
            <w:vAlign w:val="center"/>
          </w:tcPr>
          <w:p w14:paraId="6094BEAD" w14:textId="072B45FB"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2009-08-17</w:t>
            </w:r>
          </w:p>
        </w:tc>
        <w:tc>
          <w:tcPr>
            <w:tcW w:w="1244" w:type="pct"/>
            <w:vAlign w:val="center"/>
          </w:tcPr>
          <w:p w14:paraId="4B653A55" w14:textId="22285560"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2010-06-21</w:t>
            </w:r>
          </w:p>
        </w:tc>
      </w:tr>
      <w:tr w:rsidR="00955567" w:rsidRPr="005C4582" w14:paraId="60BA0DC3" w14:textId="7A3F393C" w:rsidTr="000A1C97">
        <w:trPr>
          <w:trHeight w:val="510"/>
        </w:trPr>
        <w:tc>
          <w:tcPr>
            <w:tcW w:w="1267" w:type="pct"/>
            <w:shd w:val="clear" w:color="auto" w:fill="5B0009"/>
            <w:vAlign w:val="center"/>
          </w:tcPr>
          <w:p w14:paraId="20E9CB06" w14:textId="77777777" w:rsidR="00955567" w:rsidRPr="005C4582" w:rsidRDefault="00955567" w:rsidP="00955567">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245" w:type="pct"/>
            <w:vAlign w:val="center"/>
          </w:tcPr>
          <w:p w14:paraId="441E78E0" w14:textId="005FF748" w:rsidR="00955567" w:rsidRPr="005C4582" w:rsidRDefault="00955567" w:rsidP="00955567">
            <w:pPr>
              <w:rPr>
                <w:rStyle w:val="fontstyle01"/>
                <w:rFonts w:ascii="Arial" w:eastAsiaTheme="majorEastAsia" w:hAnsi="Arial" w:cs="Arial"/>
                <w:bCs/>
                <w:iCs/>
                <w:sz w:val="22"/>
                <w:szCs w:val="22"/>
                <w:lang w:val="en-GB"/>
              </w:rPr>
            </w:pPr>
            <w:r w:rsidRPr="005C4582">
              <w:rPr>
                <w:rFonts w:ascii="Arial" w:eastAsia="Arial" w:hAnsi="Arial" w:cs="Arial"/>
                <w:sz w:val="22"/>
                <w:szCs w:val="22"/>
              </w:rPr>
              <w:t>N/A</w:t>
            </w:r>
          </w:p>
        </w:tc>
        <w:tc>
          <w:tcPr>
            <w:tcW w:w="1244" w:type="pct"/>
            <w:vAlign w:val="center"/>
          </w:tcPr>
          <w:p w14:paraId="600FFF17" w14:textId="7C9E297E"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N/A</w:t>
            </w:r>
          </w:p>
        </w:tc>
        <w:tc>
          <w:tcPr>
            <w:tcW w:w="1244" w:type="pct"/>
            <w:vAlign w:val="center"/>
          </w:tcPr>
          <w:p w14:paraId="6683B180" w14:textId="5AAACAA6" w:rsidR="00955567" w:rsidRPr="005C4582" w:rsidRDefault="00955567" w:rsidP="00955567">
            <w:pPr>
              <w:rPr>
                <w:rFonts w:ascii="Arial" w:eastAsiaTheme="majorEastAsia" w:hAnsi="Arial" w:cs="Arial"/>
                <w:bCs/>
                <w:iCs/>
                <w:sz w:val="22"/>
                <w:szCs w:val="22"/>
                <w:lang w:val="en-GB"/>
              </w:rPr>
            </w:pPr>
            <w:r w:rsidRPr="005C4582">
              <w:rPr>
                <w:rFonts w:ascii="Arial" w:eastAsia="Arial" w:hAnsi="Arial" w:cs="Arial"/>
                <w:sz w:val="22"/>
                <w:szCs w:val="22"/>
              </w:rPr>
              <w:t>Joint study program</w:t>
            </w:r>
          </w:p>
        </w:tc>
      </w:tr>
    </w:tbl>
    <w:p w14:paraId="5CAEEE12" w14:textId="77777777" w:rsidR="005D0FF7" w:rsidRPr="005C4582" w:rsidRDefault="005D0FF7" w:rsidP="005D0FF7">
      <w:pPr>
        <w:rPr>
          <w:rFonts w:asciiTheme="minorHAnsi" w:hAnsiTheme="minorHAnsi" w:cstheme="minorHAnsi"/>
          <w:iCs/>
          <w:color w:val="136C73"/>
          <w:sz w:val="22"/>
          <w:szCs w:val="22"/>
          <w:lang w:eastAsia="lt-LT"/>
        </w:rPr>
      </w:pPr>
    </w:p>
    <w:p w14:paraId="468D0B48" w14:textId="0D0C3C9C" w:rsidR="0042467A" w:rsidRPr="005C4582" w:rsidRDefault="006501B9" w:rsidP="008F64DA">
      <w:pPr>
        <w:spacing w:line="276" w:lineRule="auto"/>
        <w:rPr>
          <w:rFonts w:asciiTheme="minorHAnsi" w:eastAsia="Calibri" w:hAnsiTheme="minorHAnsi" w:cstheme="minorHAnsi"/>
          <w:sz w:val="22"/>
          <w:szCs w:val="22"/>
          <w:lang w:val="en-GB" w:eastAsia="lt-LT"/>
        </w:rPr>
      </w:pPr>
      <w:r w:rsidRPr="005C4582">
        <w:rPr>
          <w:rFonts w:asciiTheme="minorHAnsi" w:eastAsia="Calibri" w:hAnsiTheme="minorHAnsi" w:cstheme="minorHAnsi"/>
          <w:sz w:val="22"/>
          <w:szCs w:val="22"/>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7A949221"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955567">
        <w:rPr>
          <w:rFonts w:ascii="Arial" w:hAnsi="Arial" w:cs="Arial"/>
          <w:lang w:val="en-GB"/>
        </w:rPr>
        <w:t>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3C3878AF"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5D7AB17B"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46F7A8B4"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260FE63F"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4B00C518"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77960B1F"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5</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5235A98F"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4EDE89BE"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24</w:t>
            </w:r>
          </w:p>
        </w:tc>
      </w:tr>
    </w:tbl>
    <w:p w14:paraId="57EB999E" w14:textId="77777777" w:rsidR="005D0FF7" w:rsidRPr="002D0027" w:rsidRDefault="005D0FF7" w:rsidP="005D0FF7">
      <w:pPr>
        <w:rPr>
          <w:rFonts w:ascii="Arial" w:hAnsi="Arial" w:cs="Arial"/>
          <w:lang w:val="en-GB" w:eastAsia="lt-LT"/>
        </w:rPr>
      </w:pPr>
    </w:p>
    <w:p w14:paraId="04712921" w14:textId="4939BB2D"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955567">
        <w:rPr>
          <w:rFonts w:ascii="Arial" w:hAnsi="Arial" w:cs="Arial"/>
          <w:lang w:val="en-GB"/>
        </w:rPr>
        <w:t>political science</w:t>
      </w:r>
      <w:r w:rsidR="00955567" w:rsidRPr="002D0027">
        <w:rPr>
          <w:rFonts w:ascii="Arial" w:hAnsi="Arial" w:cs="Arial"/>
          <w:lang w:val="en-GB"/>
        </w:rPr>
        <w:t xml:space="preserve"> field of study is given a </w:t>
      </w:r>
      <w:r w:rsidR="00955567" w:rsidRPr="002D0027">
        <w:rPr>
          <w:rFonts w:ascii="Arial" w:hAnsi="Arial" w:cs="Arial"/>
          <w:b/>
          <w:bCs/>
          <w:color w:val="5B0009"/>
          <w:lang w:val="en-GB"/>
        </w:rPr>
        <w:t>positive</w:t>
      </w:r>
      <w:r w:rsidR="00955567" w:rsidRPr="002D0027">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4A5721C1"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0BB6B9E4"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7C060BF5"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0F05B5AF"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6917C1D4"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4F73D840"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5</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2A3C0138"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49AEBBBA" w:rsidR="005D0FF7" w:rsidRPr="002D0027" w:rsidRDefault="006823D8" w:rsidP="00F50679">
            <w:pPr>
              <w:jc w:val="center"/>
              <w:rPr>
                <w:rFonts w:ascii="Arial" w:eastAsia="Calibri" w:hAnsi="Arial" w:cs="Arial"/>
                <w:iCs/>
                <w:lang w:val="en-GB" w:eastAsia="lt-LT"/>
              </w:rPr>
            </w:pPr>
            <w:r>
              <w:rPr>
                <w:rFonts w:ascii="Arial" w:eastAsia="Calibri" w:hAnsi="Arial" w:cs="Arial"/>
                <w:iCs/>
                <w:lang w:val="en-GB" w:eastAsia="lt-LT"/>
              </w:rPr>
              <w:t>25</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4F64A257" w:rsidR="005D0FF7" w:rsidRPr="002D0027" w:rsidRDefault="006823D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62B4C04A" w:rsidR="005D0FF7" w:rsidRPr="002D0027" w:rsidRDefault="006823D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5C4582" w:rsidRDefault="005D0FF7" w:rsidP="005C4582">
      <w:pPr>
        <w:spacing w:line="276" w:lineRule="auto"/>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3752E89C" w14:textId="77777777" w:rsidR="005D0FF7" w:rsidRPr="005C4582" w:rsidRDefault="005D0FF7" w:rsidP="005C4582">
      <w:pPr>
        <w:spacing w:line="276" w:lineRule="auto"/>
        <w:jc w:val="both"/>
        <w:rPr>
          <w:rFonts w:ascii="Arial" w:hAnsi="Arial" w:cs="Arial"/>
          <w:b/>
          <w:bCs/>
          <w:color w:val="136C73"/>
          <w:sz w:val="22"/>
          <w:szCs w:val="22"/>
          <w:lang w:val="en-GB" w:eastAsia="lt-LT"/>
        </w:rPr>
      </w:pPr>
    </w:p>
    <w:p w14:paraId="717AD64A" w14:textId="77777777" w:rsidR="00E30A5B" w:rsidRPr="005C4582" w:rsidRDefault="00E30A5B" w:rsidP="005C4582">
      <w:pPr>
        <w:numPr>
          <w:ilvl w:val="0"/>
          <w:numId w:val="4"/>
        </w:numPr>
        <w:spacing w:line="276" w:lineRule="auto"/>
        <w:ind w:right="140"/>
        <w:jc w:val="both"/>
        <w:rPr>
          <w:rFonts w:ascii="Arial" w:eastAsia="Arial" w:hAnsi="Arial" w:cs="Arial"/>
          <w:sz w:val="22"/>
          <w:szCs w:val="22"/>
        </w:rPr>
      </w:pPr>
      <w:r w:rsidRPr="005C4582">
        <w:rPr>
          <w:rFonts w:ascii="Arial" w:eastAsia="Arial" w:hAnsi="Arial" w:cs="Arial"/>
          <w:sz w:val="22"/>
          <w:szCs w:val="22"/>
        </w:rPr>
        <w:t>The Liberal Arts ethos provides flexibility and choice for students.</w:t>
      </w:r>
    </w:p>
    <w:p w14:paraId="107BC07C" w14:textId="77777777" w:rsidR="00E30A5B" w:rsidRPr="005C4582" w:rsidRDefault="00E30A5B" w:rsidP="005C4582">
      <w:pPr>
        <w:numPr>
          <w:ilvl w:val="0"/>
          <w:numId w:val="4"/>
        </w:numPr>
        <w:spacing w:line="276" w:lineRule="auto"/>
        <w:ind w:right="140"/>
        <w:jc w:val="both"/>
        <w:rPr>
          <w:rFonts w:ascii="Arial" w:eastAsia="Arial" w:hAnsi="Arial" w:cs="Arial"/>
          <w:sz w:val="22"/>
          <w:szCs w:val="22"/>
        </w:rPr>
      </w:pPr>
      <w:r w:rsidRPr="005C4582">
        <w:rPr>
          <w:rFonts w:ascii="Arial" w:eastAsia="Arial" w:hAnsi="Arial" w:cs="Arial"/>
          <w:sz w:val="22"/>
          <w:szCs w:val="22"/>
        </w:rPr>
        <w:t>The options to undertake internships and the involvement of social partners.</w:t>
      </w:r>
    </w:p>
    <w:p w14:paraId="1DDD9C39" w14:textId="551BB765" w:rsidR="005D0FF7" w:rsidRPr="005C4582" w:rsidRDefault="00E30A5B" w:rsidP="005C4582">
      <w:pPr>
        <w:numPr>
          <w:ilvl w:val="0"/>
          <w:numId w:val="4"/>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The integration of the study 360 into the curriculum shows a clear direction to produce globally informed citizens of the future.</w:t>
      </w:r>
    </w:p>
    <w:p w14:paraId="59BEFCC4" w14:textId="77777777" w:rsidR="005D0FF7" w:rsidRPr="005C4582" w:rsidRDefault="005D0FF7" w:rsidP="005C4582">
      <w:pPr>
        <w:spacing w:line="276" w:lineRule="auto"/>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0EF3BEAD"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37E6B3A9"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288738CE"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1742A4D9" w14:textId="77777777" w:rsidR="002B5DDD" w:rsidRPr="005C4582" w:rsidRDefault="002B5DDD" w:rsidP="005C4582">
      <w:pPr>
        <w:numPr>
          <w:ilvl w:val="0"/>
          <w:numId w:val="5"/>
        </w:numPr>
        <w:spacing w:line="276" w:lineRule="auto"/>
        <w:ind w:right="140"/>
        <w:jc w:val="both"/>
        <w:rPr>
          <w:rFonts w:ascii="Arial" w:eastAsia="Arial" w:hAnsi="Arial" w:cs="Arial"/>
          <w:sz w:val="22"/>
          <w:szCs w:val="22"/>
        </w:rPr>
      </w:pPr>
      <w:r w:rsidRPr="005C4582">
        <w:rPr>
          <w:rFonts w:ascii="Arial" w:eastAsia="Arial" w:hAnsi="Arial" w:cs="Arial"/>
          <w:sz w:val="22"/>
          <w:szCs w:val="22"/>
        </w:rPr>
        <w:t>To ensure that the new first cycle political studies programme does not lose the distinctive elements of the previous programmes.</w:t>
      </w:r>
    </w:p>
    <w:p w14:paraId="68433D23" w14:textId="3163B07E" w:rsidR="005D0FF7" w:rsidRPr="005C4582" w:rsidRDefault="002B5DDD" w:rsidP="005C4582">
      <w:pPr>
        <w:numPr>
          <w:ilvl w:val="0"/>
          <w:numId w:val="5"/>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 xml:space="preserve">Explore innovative ways to internationalise the curricula especially at second level. </w:t>
      </w:r>
    </w:p>
    <w:p w14:paraId="768D6930"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2A0951D9"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71A6E23E" w14:textId="77777777" w:rsidR="005E6AB8" w:rsidRPr="005C4582" w:rsidRDefault="005E6AB8" w:rsidP="005C4582">
      <w:pPr>
        <w:numPr>
          <w:ilvl w:val="0"/>
          <w:numId w:val="6"/>
        </w:numPr>
        <w:spacing w:line="276" w:lineRule="auto"/>
        <w:ind w:right="140"/>
        <w:jc w:val="both"/>
        <w:rPr>
          <w:rFonts w:ascii="Arial" w:eastAsia="Arial" w:hAnsi="Arial" w:cs="Arial"/>
          <w:sz w:val="22"/>
          <w:szCs w:val="22"/>
        </w:rPr>
      </w:pPr>
      <w:r w:rsidRPr="005C4582">
        <w:rPr>
          <w:rFonts w:ascii="Arial" w:eastAsia="Arial" w:hAnsi="Arial" w:cs="Arial"/>
          <w:sz w:val="22"/>
          <w:szCs w:val="22"/>
        </w:rPr>
        <w:t>To ensure the faculty has mechanisms to encourage information and good practice sharing across programmes.</w:t>
      </w:r>
    </w:p>
    <w:p w14:paraId="2A4265C7" w14:textId="77777777" w:rsidR="005E6AB8" w:rsidRPr="005C4582" w:rsidRDefault="005E6AB8" w:rsidP="005C4582">
      <w:pPr>
        <w:numPr>
          <w:ilvl w:val="0"/>
          <w:numId w:val="6"/>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Within the advantages of the liberal arts model consideration needs to be given as to how students can map the development of their competences across the programme.</w:t>
      </w:r>
    </w:p>
    <w:p w14:paraId="6347A4A6" w14:textId="77777777" w:rsidR="005D0FF7" w:rsidRPr="005C4582" w:rsidRDefault="005D0FF7"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4E846D77" w14:textId="11258EBE" w:rsidR="005D0FF7" w:rsidRPr="00882DD0" w:rsidRDefault="005D0FF7" w:rsidP="005D0FF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550D5DB8" w14:textId="77777777" w:rsidTr="005C4582">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5C4582">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5D7BCF42" w:rsidR="005D0FF7" w:rsidRPr="002D0027" w:rsidRDefault="005E6AB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5C4582">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71CB038C" w:rsidR="005D0FF7" w:rsidRPr="002D0027" w:rsidRDefault="005E6AB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603286AC"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51B82A40" w14:textId="77777777" w:rsidR="00596560" w:rsidRPr="005C4582" w:rsidRDefault="00596560" w:rsidP="005C4582">
      <w:pPr>
        <w:numPr>
          <w:ilvl w:val="0"/>
          <w:numId w:val="7"/>
        </w:numPr>
        <w:spacing w:line="276" w:lineRule="auto"/>
        <w:ind w:right="140"/>
        <w:jc w:val="both"/>
        <w:rPr>
          <w:rFonts w:ascii="Arial" w:eastAsia="Arial" w:hAnsi="Arial" w:cs="Arial"/>
          <w:sz w:val="22"/>
          <w:szCs w:val="22"/>
        </w:rPr>
      </w:pPr>
      <w:r w:rsidRPr="005C4582">
        <w:rPr>
          <w:rFonts w:ascii="Arial" w:eastAsia="Arial" w:hAnsi="Arial" w:cs="Arial"/>
          <w:sz w:val="22"/>
          <w:szCs w:val="22"/>
        </w:rPr>
        <w:t>Interdisciplinary research clusters effectively facilitate the integration of interdisciplinary thinking into subject courses and classroom practices.</w:t>
      </w:r>
    </w:p>
    <w:p w14:paraId="5B7F647E"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413F2C3D" w14:textId="77777777" w:rsidR="005D0FF7" w:rsidRPr="005C4582" w:rsidRDefault="005D0FF7" w:rsidP="005C4582">
      <w:pPr>
        <w:spacing w:line="276" w:lineRule="auto"/>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2F90F14F"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668632AC"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4552DB8F"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1A025ECA" w14:textId="77777777" w:rsidR="0010592B" w:rsidRPr="005C4582" w:rsidRDefault="0010592B" w:rsidP="005C4582">
      <w:pPr>
        <w:numPr>
          <w:ilvl w:val="0"/>
          <w:numId w:val="8"/>
        </w:numPr>
        <w:spacing w:line="276" w:lineRule="auto"/>
        <w:ind w:right="140"/>
        <w:jc w:val="both"/>
        <w:rPr>
          <w:rFonts w:ascii="Arial" w:eastAsia="Arial" w:hAnsi="Arial" w:cs="Arial"/>
          <w:sz w:val="22"/>
          <w:szCs w:val="22"/>
        </w:rPr>
      </w:pPr>
      <w:r w:rsidRPr="005C4582">
        <w:rPr>
          <w:rFonts w:ascii="Arial" w:eastAsia="Arial" w:hAnsi="Arial" w:cs="Arial"/>
          <w:sz w:val="22"/>
          <w:szCs w:val="22"/>
        </w:rPr>
        <w:t>Develop a policy to increase the participation of academic staff in research projects.</w:t>
      </w:r>
    </w:p>
    <w:p w14:paraId="67FB1C29" w14:textId="77777777" w:rsidR="0010592B" w:rsidRPr="005C4582" w:rsidRDefault="0010592B" w:rsidP="005C4582">
      <w:pPr>
        <w:numPr>
          <w:ilvl w:val="0"/>
          <w:numId w:val="8"/>
        </w:numPr>
        <w:spacing w:line="276" w:lineRule="auto"/>
        <w:ind w:right="140"/>
        <w:jc w:val="both"/>
        <w:rPr>
          <w:rFonts w:ascii="Arial" w:eastAsia="Arial" w:hAnsi="Arial" w:cs="Arial"/>
          <w:sz w:val="22"/>
          <w:szCs w:val="22"/>
        </w:rPr>
      </w:pPr>
      <w:r w:rsidRPr="005C4582">
        <w:rPr>
          <w:rFonts w:ascii="Arial" w:eastAsia="Arial" w:hAnsi="Arial" w:cs="Arial"/>
          <w:sz w:val="22"/>
          <w:szCs w:val="22"/>
        </w:rPr>
        <w:t>Establish a systematic approach to integrating and promoting faculty research achievements within the courses they teach.</w:t>
      </w:r>
    </w:p>
    <w:p w14:paraId="7BD515DB" w14:textId="3A139AC0" w:rsidR="005D0FF7" w:rsidRPr="005C4582" w:rsidRDefault="0010592B" w:rsidP="005C4582">
      <w:pPr>
        <w:numPr>
          <w:ilvl w:val="0"/>
          <w:numId w:val="8"/>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Develop a strategic plan, incorporating relevant benchmarking tools, to enhance student engagement in research.</w:t>
      </w:r>
    </w:p>
    <w:p w14:paraId="38B46054"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7AE05466"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547CB677" w14:textId="77777777" w:rsidR="00504D2E" w:rsidRPr="005C4582" w:rsidRDefault="00504D2E" w:rsidP="005C4582">
      <w:pPr>
        <w:numPr>
          <w:ilvl w:val="0"/>
          <w:numId w:val="9"/>
        </w:numPr>
        <w:spacing w:line="276" w:lineRule="auto"/>
        <w:ind w:right="140"/>
        <w:jc w:val="both"/>
        <w:rPr>
          <w:rFonts w:ascii="Arial" w:eastAsia="Arial" w:hAnsi="Arial" w:cs="Arial"/>
          <w:sz w:val="22"/>
          <w:szCs w:val="22"/>
        </w:rPr>
      </w:pPr>
      <w:r w:rsidRPr="005C4582">
        <w:rPr>
          <w:rFonts w:ascii="Arial" w:eastAsia="Arial" w:hAnsi="Arial" w:cs="Arial"/>
          <w:sz w:val="22"/>
          <w:szCs w:val="22"/>
        </w:rPr>
        <w:t>As part of its strategic vision, the Faculty aims to expand the international dimension of its study programs, which will result in a more diverse student body and a greater need for foreign teaching staff (currently comprising about 10-15%). In anticipation of this, it would be beneficial to consider what (re)arrangements are necessary to ensure that a diverse student body remains actively engaged in research activities. The substantial presence of Erasmus students presents additional challenges in this regard.</w:t>
      </w:r>
    </w:p>
    <w:p w14:paraId="41335869" w14:textId="77777777" w:rsidR="005D0FF7" w:rsidRPr="005C4582" w:rsidRDefault="005D0FF7"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69D39912" w14:textId="43E43C7C" w:rsidR="005D0FF7" w:rsidRPr="009361AA" w:rsidRDefault="005D0FF7" w:rsidP="005D0FF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4D1791A0" w14:textId="77777777" w:rsidTr="005C4582">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5C4582">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3144891D" w:rsidR="005D0FF7" w:rsidRPr="002D0027" w:rsidRDefault="00504D2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5C4582">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3E8A039" w14:textId="2D4CE94A" w:rsidR="005D0FF7" w:rsidRPr="002D0027" w:rsidRDefault="00504D2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70"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20CB2641"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29724A06" w14:textId="77777777" w:rsidR="00FB3FE2" w:rsidRPr="005C4582" w:rsidRDefault="00FB3FE2" w:rsidP="005C4582">
      <w:pPr>
        <w:numPr>
          <w:ilvl w:val="0"/>
          <w:numId w:val="10"/>
        </w:numPr>
        <w:spacing w:line="276" w:lineRule="auto"/>
        <w:ind w:right="140"/>
        <w:jc w:val="both"/>
        <w:rPr>
          <w:rFonts w:ascii="Arial" w:eastAsia="Arial" w:hAnsi="Arial" w:cs="Arial"/>
          <w:sz w:val="22"/>
          <w:szCs w:val="22"/>
        </w:rPr>
      </w:pPr>
      <w:r w:rsidRPr="005C4582">
        <w:rPr>
          <w:rFonts w:ascii="Arial" w:eastAsia="Arial" w:hAnsi="Arial" w:cs="Arial"/>
          <w:sz w:val="22"/>
          <w:szCs w:val="22"/>
        </w:rPr>
        <w:t>A well-developed system of academic, social, financial, and other support for students.</w:t>
      </w:r>
    </w:p>
    <w:p w14:paraId="208E88EC" w14:textId="77777777" w:rsidR="00FB3FE2" w:rsidRPr="005C4582" w:rsidRDefault="00FB3FE2" w:rsidP="005C4582">
      <w:pPr>
        <w:numPr>
          <w:ilvl w:val="0"/>
          <w:numId w:val="10"/>
        </w:numPr>
        <w:pBdr>
          <w:top w:val="nil"/>
          <w:left w:val="nil"/>
          <w:bottom w:val="nil"/>
          <w:right w:val="nil"/>
          <w:between w:val="nil"/>
        </w:pBdr>
        <w:spacing w:line="276" w:lineRule="auto"/>
        <w:ind w:right="140"/>
        <w:jc w:val="both"/>
        <w:rPr>
          <w:rFonts w:ascii="Arial" w:eastAsia="Arial" w:hAnsi="Arial" w:cs="Arial"/>
          <w:color w:val="000000"/>
          <w:sz w:val="22"/>
          <w:szCs w:val="22"/>
        </w:rPr>
      </w:pPr>
      <w:r w:rsidRPr="005C4582">
        <w:rPr>
          <w:rFonts w:ascii="Arial" w:eastAsia="Arial" w:hAnsi="Arial" w:cs="Arial"/>
          <w:sz w:val="22"/>
          <w:szCs w:val="22"/>
        </w:rPr>
        <w:t>Response to changes in applicants' needs and adaptation of programmes.</w:t>
      </w:r>
    </w:p>
    <w:p w14:paraId="362B6951"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3A741AD9" w14:textId="77777777" w:rsidR="005D0FF7" w:rsidRPr="005C4582" w:rsidRDefault="005D0FF7" w:rsidP="005C4582">
      <w:pPr>
        <w:spacing w:line="276" w:lineRule="auto"/>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1336C92E"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37D0B517"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5CC002DA"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5D4F63B0" w14:textId="77777777" w:rsidR="00823F6F" w:rsidRPr="005C4582" w:rsidRDefault="00823F6F" w:rsidP="005C4582">
      <w:pPr>
        <w:numPr>
          <w:ilvl w:val="0"/>
          <w:numId w:val="11"/>
        </w:numPr>
        <w:spacing w:line="276" w:lineRule="auto"/>
        <w:ind w:right="140"/>
        <w:jc w:val="both"/>
        <w:rPr>
          <w:rFonts w:ascii="Arial" w:eastAsia="Arial" w:hAnsi="Arial" w:cs="Arial"/>
          <w:sz w:val="22"/>
          <w:szCs w:val="22"/>
        </w:rPr>
      </w:pPr>
      <w:r w:rsidRPr="005C4582">
        <w:rPr>
          <w:rFonts w:ascii="Arial" w:eastAsia="Arial" w:hAnsi="Arial" w:cs="Arial"/>
          <w:sz w:val="22"/>
          <w:szCs w:val="22"/>
        </w:rPr>
        <w:t>To communicate more clearly on the website about the new programme and its specialisations. Additionally, increase the programme's visibility overall and engage with the target audience to attract more motivated students who would choose to study at VMU as their first priority.</w:t>
      </w:r>
    </w:p>
    <w:p w14:paraId="214F5199"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7AFA1998"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67B4D334"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0ACAB05A" w14:textId="77777777" w:rsidR="00B21CD7" w:rsidRPr="005C4582" w:rsidRDefault="00B21CD7" w:rsidP="005C4582">
      <w:pPr>
        <w:numPr>
          <w:ilvl w:val="0"/>
          <w:numId w:val="12"/>
        </w:numPr>
        <w:spacing w:line="276" w:lineRule="auto"/>
        <w:ind w:right="140"/>
        <w:jc w:val="both"/>
        <w:rPr>
          <w:rFonts w:ascii="Arial" w:eastAsia="Arial" w:hAnsi="Arial" w:cs="Arial"/>
          <w:sz w:val="22"/>
          <w:szCs w:val="22"/>
        </w:rPr>
      </w:pPr>
      <w:r w:rsidRPr="005C4582">
        <w:rPr>
          <w:rFonts w:ascii="Arial" w:eastAsia="Arial" w:hAnsi="Arial" w:cs="Arial"/>
          <w:sz w:val="22"/>
          <w:szCs w:val="22"/>
        </w:rPr>
        <w:t>To encourage students to participate more in exchange programs and provide more opportunities for short-term visits, allowing students to gain experience without giving up their commitments in Lithuania.</w:t>
      </w:r>
    </w:p>
    <w:p w14:paraId="625E7540" w14:textId="77777777" w:rsidR="005D0FF7" w:rsidRPr="005C4582" w:rsidRDefault="005D0FF7"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5CC51202" w14:textId="76AD0C3C"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7BE9AAB9" w14:textId="77777777" w:rsidTr="005C4582">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5C4582">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2082A991" w:rsidR="005D0FF7" w:rsidRPr="002D0027" w:rsidRDefault="00B21CD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5C4582">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4FAFDC71" w:rsidR="005D0FF7" w:rsidRPr="002D0027" w:rsidRDefault="00B21CD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5C4582" w:rsidRDefault="005D0FF7" w:rsidP="005C4582">
      <w:pPr>
        <w:spacing w:line="276" w:lineRule="auto"/>
        <w:ind w:right="140"/>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4D0C54BC" w14:textId="77777777" w:rsidR="005D0FF7" w:rsidRPr="005C4582" w:rsidRDefault="005D0FF7" w:rsidP="005C4582">
      <w:pPr>
        <w:spacing w:line="276" w:lineRule="auto"/>
        <w:ind w:right="140"/>
        <w:rPr>
          <w:rFonts w:ascii="Arial" w:hAnsi="Arial" w:cs="Arial"/>
          <w:b/>
          <w:bCs/>
          <w:color w:val="136C73"/>
          <w:sz w:val="22"/>
          <w:szCs w:val="22"/>
          <w:lang w:val="en-GB" w:eastAsia="lt-LT"/>
        </w:rPr>
      </w:pPr>
    </w:p>
    <w:p w14:paraId="6E00CAE5" w14:textId="77777777" w:rsidR="003E0870" w:rsidRPr="005C4582" w:rsidRDefault="003E0870" w:rsidP="005C4582">
      <w:pPr>
        <w:numPr>
          <w:ilvl w:val="0"/>
          <w:numId w:val="13"/>
        </w:numPr>
        <w:pBdr>
          <w:top w:val="nil"/>
          <w:left w:val="nil"/>
          <w:bottom w:val="nil"/>
          <w:right w:val="nil"/>
          <w:between w:val="nil"/>
        </w:pBdr>
        <w:spacing w:line="276" w:lineRule="auto"/>
        <w:ind w:right="140"/>
        <w:jc w:val="both"/>
        <w:rPr>
          <w:rFonts w:ascii="Arial" w:eastAsia="Arial" w:hAnsi="Arial" w:cs="Arial"/>
          <w:sz w:val="22"/>
          <w:szCs w:val="22"/>
        </w:rPr>
      </w:pPr>
      <w:r w:rsidRPr="005C4582">
        <w:rPr>
          <w:rFonts w:ascii="Arial" w:eastAsia="Arial" w:hAnsi="Arial" w:cs="Arial"/>
          <w:sz w:val="22"/>
          <w:szCs w:val="22"/>
        </w:rPr>
        <w:t>Developing unique digital learning tools for the subjects (e.g. virtual teacher’s offices and simulation companies, practice of artificial intelligence tools, escape rooms and other unique and innovative tasks) in the project "Digital Transformation of Education” ("EdTech").</w:t>
      </w:r>
    </w:p>
    <w:p w14:paraId="2F749786" w14:textId="77777777" w:rsidR="003E0870" w:rsidRPr="005C4582" w:rsidRDefault="003E0870" w:rsidP="005C4582">
      <w:pPr>
        <w:numPr>
          <w:ilvl w:val="0"/>
          <w:numId w:val="13"/>
        </w:numPr>
        <w:pBdr>
          <w:top w:val="nil"/>
          <w:left w:val="nil"/>
          <w:bottom w:val="nil"/>
          <w:right w:val="nil"/>
          <w:between w:val="nil"/>
        </w:pBdr>
        <w:spacing w:line="276" w:lineRule="auto"/>
        <w:ind w:right="140"/>
        <w:jc w:val="both"/>
        <w:rPr>
          <w:rFonts w:ascii="Arial" w:eastAsia="Arial" w:hAnsi="Arial" w:cs="Arial"/>
          <w:sz w:val="22"/>
          <w:szCs w:val="22"/>
        </w:rPr>
      </w:pPr>
      <w:r w:rsidRPr="005C4582">
        <w:rPr>
          <w:rFonts w:ascii="Arial" w:eastAsia="Arial" w:hAnsi="Arial" w:cs="Arial"/>
          <w:sz w:val="22"/>
          <w:szCs w:val="22"/>
        </w:rPr>
        <w:t>System of two compulsory internships for first-cycle students that may lead to more opportunities compared to systems foreseeing only one compulsory internship.</w:t>
      </w:r>
    </w:p>
    <w:p w14:paraId="33F40362" w14:textId="77777777" w:rsidR="005D0FF7" w:rsidRPr="005C4582" w:rsidRDefault="005D0FF7" w:rsidP="005C4582">
      <w:pPr>
        <w:spacing w:line="276" w:lineRule="auto"/>
        <w:ind w:right="140"/>
        <w:rPr>
          <w:rFonts w:ascii="Arial" w:hAnsi="Arial" w:cs="Arial"/>
          <w:b/>
          <w:bCs/>
          <w:color w:val="136C73"/>
          <w:sz w:val="22"/>
          <w:szCs w:val="22"/>
          <w:lang w:val="en-GB" w:eastAsia="lt-LT"/>
        </w:rPr>
      </w:pPr>
    </w:p>
    <w:p w14:paraId="33329162" w14:textId="77777777" w:rsidR="005D0FF7" w:rsidRPr="005C4582" w:rsidRDefault="005D0FF7" w:rsidP="005C4582">
      <w:pPr>
        <w:spacing w:line="276" w:lineRule="auto"/>
        <w:ind w:right="140"/>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36001AB8"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3D0DCE93"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55BAAD0D"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5BFA7D42" w14:textId="77777777" w:rsidR="00BA1EAB" w:rsidRPr="005C4582" w:rsidRDefault="00BA1EAB" w:rsidP="005C4582">
      <w:pPr>
        <w:numPr>
          <w:ilvl w:val="0"/>
          <w:numId w:val="14"/>
        </w:numPr>
        <w:spacing w:line="276" w:lineRule="auto"/>
        <w:ind w:right="140"/>
        <w:jc w:val="both"/>
        <w:rPr>
          <w:rFonts w:ascii="Arial" w:eastAsia="Arial" w:hAnsi="Arial" w:cs="Arial"/>
          <w:sz w:val="22"/>
          <w:szCs w:val="22"/>
        </w:rPr>
      </w:pPr>
      <w:r w:rsidRPr="005C4582">
        <w:rPr>
          <w:rFonts w:ascii="Arial" w:eastAsia="Arial" w:hAnsi="Arial" w:cs="Arial"/>
          <w:sz w:val="22"/>
          <w:szCs w:val="22"/>
        </w:rPr>
        <w:t>Streamlining first cycle programmes would help to strengthen teaching and learning methods and also overall organisation processes. It should also help to enhance interdisciplinary course coordination, establish clear links between methods and learning outcomes in study programmes, better adapt these methods considering increasing number of foreign students, strengthen the teaching content (e.g. reinforced teaching of quantitative methods) and further improve access to higher education for foreign student population in the field.</w:t>
      </w:r>
    </w:p>
    <w:p w14:paraId="33A43773" w14:textId="77777777" w:rsidR="00BA1EAB" w:rsidRPr="005C4582" w:rsidRDefault="00BA1EAB" w:rsidP="005C4582">
      <w:pPr>
        <w:numPr>
          <w:ilvl w:val="0"/>
          <w:numId w:val="14"/>
        </w:numPr>
        <w:spacing w:line="276" w:lineRule="auto"/>
        <w:ind w:right="140"/>
        <w:jc w:val="both"/>
        <w:rPr>
          <w:rFonts w:ascii="Arial" w:eastAsia="Arial" w:hAnsi="Arial" w:cs="Arial"/>
          <w:sz w:val="22"/>
          <w:szCs w:val="22"/>
        </w:rPr>
      </w:pPr>
      <w:r w:rsidRPr="005C4582">
        <w:rPr>
          <w:rFonts w:ascii="Arial" w:eastAsia="Arial" w:hAnsi="Arial" w:cs="Arial"/>
          <w:sz w:val="22"/>
          <w:szCs w:val="22"/>
        </w:rPr>
        <w:t xml:space="preserve">Employability of university graduates (esp. of first cycle graduates) could be further increased through more systematic and comprehensive provision of career guidance services so it covers all students as early as possible in their study trajectories. The need for a mentoring programme to increase alumni participation in the study programme was also emphasized in the previous evaluation. </w:t>
      </w:r>
    </w:p>
    <w:p w14:paraId="118AA450"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0ECE5001"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1BE00005"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51C11512" w14:textId="77777777" w:rsidR="00562B38" w:rsidRPr="005C4582" w:rsidRDefault="00562B38" w:rsidP="005C4582">
      <w:pPr>
        <w:numPr>
          <w:ilvl w:val="0"/>
          <w:numId w:val="15"/>
        </w:numPr>
        <w:pBdr>
          <w:top w:val="nil"/>
          <w:left w:val="nil"/>
          <w:bottom w:val="nil"/>
          <w:right w:val="nil"/>
          <w:between w:val="nil"/>
        </w:pBdr>
        <w:spacing w:line="276" w:lineRule="auto"/>
        <w:ind w:right="140"/>
        <w:jc w:val="both"/>
        <w:rPr>
          <w:rFonts w:ascii="Arial" w:eastAsia="Arial" w:hAnsi="Arial" w:cs="Arial"/>
          <w:sz w:val="22"/>
          <w:szCs w:val="22"/>
        </w:rPr>
      </w:pPr>
      <w:r w:rsidRPr="005C4582">
        <w:rPr>
          <w:rFonts w:ascii="Arial" w:eastAsia="Arial" w:hAnsi="Arial" w:cs="Arial"/>
          <w:sz w:val="22"/>
          <w:szCs w:val="22"/>
        </w:rPr>
        <w:t>More systematic monitoring of employment statistics incl. carrying out regular employer surveys and ensuring better access to employment data of foreign graduates.</w:t>
      </w:r>
    </w:p>
    <w:p w14:paraId="44FA0E88" w14:textId="77777777" w:rsidR="00562B38" w:rsidRPr="005C4582" w:rsidRDefault="00562B38" w:rsidP="005C4582">
      <w:pPr>
        <w:numPr>
          <w:ilvl w:val="0"/>
          <w:numId w:val="15"/>
        </w:numPr>
        <w:pBdr>
          <w:top w:val="nil"/>
          <w:left w:val="nil"/>
          <w:bottom w:val="nil"/>
          <w:right w:val="nil"/>
          <w:between w:val="nil"/>
        </w:pBdr>
        <w:spacing w:line="276" w:lineRule="auto"/>
        <w:ind w:right="140"/>
        <w:jc w:val="both"/>
        <w:rPr>
          <w:rFonts w:ascii="Arial" w:eastAsia="Arial" w:hAnsi="Arial" w:cs="Arial"/>
          <w:sz w:val="22"/>
          <w:szCs w:val="22"/>
        </w:rPr>
      </w:pPr>
      <w:r w:rsidRPr="005C4582">
        <w:rPr>
          <w:rFonts w:ascii="Arial" w:eastAsia="Arial" w:hAnsi="Arial" w:cs="Arial"/>
          <w:sz w:val="22"/>
          <w:szCs w:val="22"/>
        </w:rPr>
        <w:t>Work-based learning components of esp. first-cycle programmes could be enhanced by strengthening partnerships with employers for practical work activities incl. internships, collecting detailed employer feedback and using this feedback to further improve practical work activities.</w:t>
      </w:r>
    </w:p>
    <w:p w14:paraId="6E6B1F60" w14:textId="6A6BCF3C" w:rsidR="005D0FF7" w:rsidRPr="00562B38" w:rsidRDefault="00562B38" w:rsidP="005C4582">
      <w:pPr>
        <w:numPr>
          <w:ilvl w:val="0"/>
          <w:numId w:val="15"/>
        </w:numPr>
        <w:pBdr>
          <w:top w:val="nil"/>
          <w:left w:val="nil"/>
          <w:bottom w:val="nil"/>
          <w:right w:val="nil"/>
          <w:between w:val="nil"/>
        </w:pBdr>
        <w:spacing w:line="276" w:lineRule="auto"/>
        <w:ind w:right="140"/>
        <w:jc w:val="both"/>
        <w:rPr>
          <w:rFonts w:ascii="Arial" w:eastAsia="Arial" w:hAnsi="Arial" w:cs="Arial"/>
        </w:rPr>
      </w:pPr>
      <w:r w:rsidRPr="005C4582">
        <w:rPr>
          <w:rFonts w:ascii="Arial" w:eastAsia="Arial" w:hAnsi="Arial" w:cs="Arial"/>
          <w:sz w:val="22"/>
          <w:szCs w:val="22"/>
        </w:rPr>
        <w:t>Addressing thesis topic diversity concerns.</w:t>
      </w:r>
      <w:r w:rsidR="005D0FF7" w:rsidRPr="00562B38">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108F2FD9" w14:textId="77777777" w:rsidTr="005C4582">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5C4582">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1B381355" w:rsidR="005D0FF7" w:rsidRPr="002D0027" w:rsidRDefault="00562B3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5C4582">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514A51F6" w:rsidR="005D0FF7" w:rsidRPr="002D0027" w:rsidRDefault="00562B3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280C0F4A"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64595323" w14:textId="21DDCE43" w:rsidR="00C1703B" w:rsidRPr="005C4582" w:rsidRDefault="00C1703B" w:rsidP="005C4582">
      <w:pPr>
        <w:numPr>
          <w:ilvl w:val="0"/>
          <w:numId w:val="16"/>
        </w:numPr>
        <w:spacing w:line="276" w:lineRule="auto"/>
        <w:ind w:right="140"/>
        <w:jc w:val="both"/>
        <w:rPr>
          <w:rFonts w:ascii="Arial" w:eastAsia="Arial" w:hAnsi="Arial" w:cs="Arial"/>
          <w:sz w:val="22"/>
          <w:szCs w:val="22"/>
        </w:rPr>
      </w:pPr>
      <w:r w:rsidRPr="005C4582">
        <w:rPr>
          <w:rFonts w:ascii="Arial" w:eastAsia="Arial" w:hAnsi="Arial" w:cs="Arial"/>
          <w:sz w:val="22"/>
          <w:szCs w:val="22"/>
        </w:rPr>
        <w:t>Research cluster create a promising base for multi- and interdisciplinary research and teaching</w:t>
      </w:r>
      <w:r w:rsidR="005C4582">
        <w:rPr>
          <w:rFonts w:ascii="Arial" w:eastAsia="Arial" w:hAnsi="Arial" w:cs="Arial"/>
          <w:sz w:val="22"/>
          <w:szCs w:val="22"/>
        </w:rPr>
        <w:t>.</w:t>
      </w:r>
    </w:p>
    <w:p w14:paraId="18C9CA36" w14:textId="68CC093A" w:rsidR="005D0FF7" w:rsidRPr="005C4582" w:rsidRDefault="00C1703B" w:rsidP="005C4582">
      <w:pPr>
        <w:numPr>
          <w:ilvl w:val="0"/>
          <w:numId w:val="16"/>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Wide variety of in-house training for professional development of staff and due emphasis on this aspect.</w:t>
      </w:r>
    </w:p>
    <w:p w14:paraId="105F2707" w14:textId="77777777" w:rsidR="005D0FF7" w:rsidRPr="005C4582" w:rsidRDefault="005D0FF7" w:rsidP="005C4582">
      <w:pPr>
        <w:spacing w:line="276" w:lineRule="auto"/>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2D68EDDE"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2D7A2B93"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42E67CA5"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07406F33" w14:textId="77777777" w:rsidR="00E400BA" w:rsidRPr="005C4582" w:rsidRDefault="00E400BA" w:rsidP="005C4582">
      <w:pPr>
        <w:numPr>
          <w:ilvl w:val="0"/>
          <w:numId w:val="17"/>
        </w:numPr>
        <w:spacing w:line="276" w:lineRule="auto"/>
        <w:ind w:right="140"/>
        <w:jc w:val="both"/>
        <w:rPr>
          <w:rFonts w:ascii="Arial" w:eastAsia="Arial" w:hAnsi="Arial" w:cs="Arial"/>
          <w:sz w:val="22"/>
          <w:szCs w:val="22"/>
        </w:rPr>
      </w:pPr>
      <w:r w:rsidRPr="005C4582">
        <w:rPr>
          <w:rFonts w:ascii="Arial" w:eastAsia="Arial" w:hAnsi="Arial" w:cs="Arial"/>
          <w:sz w:val="22"/>
          <w:szCs w:val="22"/>
        </w:rPr>
        <w:t>To develop the use and application of quantitative methods both in research of academic staff and in teaching of the second cycle courses of all three programmes.</w:t>
      </w:r>
    </w:p>
    <w:p w14:paraId="4DF6B5DE" w14:textId="77777777" w:rsidR="00E400BA" w:rsidRPr="005C4582" w:rsidRDefault="00E400BA" w:rsidP="005C4582">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5C4582">
        <w:rPr>
          <w:rFonts w:ascii="Arial" w:eastAsia="Arial" w:hAnsi="Arial" w:cs="Arial"/>
          <w:sz w:val="22"/>
          <w:szCs w:val="22"/>
        </w:rPr>
        <w:t>To foster internationalization of academic staff also with a view to meeting university strategic objectives in expanding the applicant base internationally.</w:t>
      </w:r>
    </w:p>
    <w:p w14:paraId="35A92314"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34B3919B"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67E5AAE4"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sz w:val="22"/>
          <w:szCs w:val="22"/>
          <w:lang w:val="en-GB" w:eastAsia="lt-LT"/>
        </w:rPr>
      </w:pPr>
    </w:p>
    <w:p w14:paraId="0938D849" w14:textId="77777777" w:rsidR="0081573D" w:rsidRPr="005C4582" w:rsidRDefault="0081573D" w:rsidP="005C4582">
      <w:pPr>
        <w:numPr>
          <w:ilvl w:val="0"/>
          <w:numId w:val="18"/>
        </w:numPr>
        <w:spacing w:line="276" w:lineRule="auto"/>
        <w:ind w:right="140"/>
        <w:jc w:val="both"/>
        <w:rPr>
          <w:rFonts w:ascii="Arial" w:eastAsia="Arial" w:hAnsi="Arial" w:cs="Arial"/>
          <w:sz w:val="22"/>
          <w:szCs w:val="22"/>
        </w:rPr>
      </w:pPr>
      <w:r w:rsidRPr="005C4582">
        <w:rPr>
          <w:rFonts w:ascii="Arial" w:eastAsia="Arial" w:hAnsi="Arial" w:cs="Arial"/>
          <w:sz w:val="22"/>
          <w:szCs w:val="22"/>
        </w:rPr>
        <w:t>To use opportunities provided by the Transform4EU membership of VMU for faculty exchange more strategically.</w:t>
      </w:r>
    </w:p>
    <w:p w14:paraId="64CE1A58" w14:textId="77777777" w:rsidR="0081573D" w:rsidRPr="005C4582" w:rsidRDefault="0081573D" w:rsidP="005C4582">
      <w:pPr>
        <w:numPr>
          <w:ilvl w:val="0"/>
          <w:numId w:val="18"/>
        </w:numPr>
        <w:spacing w:line="276" w:lineRule="auto"/>
        <w:ind w:right="140"/>
        <w:jc w:val="both"/>
        <w:rPr>
          <w:rFonts w:ascii="Arial" w:eastAsia="Arial" w:hAnsi="Arial" w:cs="Arial"/>
          <w:sz w:val="22"/>
          <w:szCs w:val="22"/>
        </w:rPr>
      </w:pPr>
      <w:r w:rsidRPr="005C4582">
        <w:rPr>
          <w:rFonts w:ascii="Arial" w:eastAsia="Arial" w:hAnsi="Arial" w:cs="Arial"/>
          <w:sz w:val="22"/>
          <w:szCs w:val="22"/>
        </w:rPr>
        <w:t>To support highly qualified staff to apply for grants with the ERC-pillar of the EU’s research programme.</w:t>
      </w:r>
    </w:p>
    <w:p w14:paraId="51D59A27" w14:textId="77777777" w:rsidR="0081573D" w:rsidRPr="005C4582" w:rsidRDefault="0081573D" w:rsidP="005C4582">
      <w:pPr>
        <w:numPr>
          <w:ilvl w:val="0"/>
          <w:numId w:val="18"/>
        </w:numPr>
        <w:spacing w:after="240" w:line="276" w:lineRule="auto"/>
        <w:ind w:right="140"/>
        <w:jc w:val="both"/>
        <w:rPr>
          <w:rFonts w:ascii="Arial" w:eastAsia="Arial" w:hAnsi="Arial" w:cs="Arial"/>
          <w:sz w:val="22"/>
          <w:szCs w:val="22"/>
        </w:rPr>
      </w:pPr>
      <w:r w:rsidRPr="005C4582">
        <w:rPr>
          <w:rFonts w:ascii="Arial" w:eastAsia="Arial" w:hAnsi="Arial" w:cs="Arial"/>
          <w:sz w:val="22"/>
          <w:szCs w:val="22"/>
        </w:rPr>
        <w:t xml:space="preserve">To elaborate co-teaching practices further in order to transform the multidisciplinary teaching into interdisciplinary one. </w:t>
      </w: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3ECC6C86" w14:textId="77777777" w:rsidTr="005C4582">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5C4582">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4E068D57" w14:textId="70A32B48" w:rsidR="005D0FF7" w:rsidRPr="002D0027" w:rsidRDefault="008157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r>
      <w:tr w:rsidR="005D0FF7" w:rsidRPr="002D0027" w14:paraId="6A9E418F" w14:textId="77777777" w:rsidTr="005C4582">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192990A1" w14:textId="3EC06696" w:rsidR="005D0FF7" w:rsidRPr="002D0027" w:rsidRDefault="008157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46B1A784"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150289E4" w14:textId="77777777" w:rsidR="001E73AF" w:rsidRPr="005C4582" w:rsidRDefault="001E73AF" w:rsidP="005C4582">
      <w:pPr>
        <w:numPr>
          <w:ilvl w:val="0"/>
          <w:numId w:val="19"/>
        </w:numPr>
        <w:spacing w:line="276" w:lineRule="auto"/>
        <w:ind w:right="140"/>
        <w:jc w:val="both"/>
        <w:rPr>
          <w:sz w:val="22"/>
          <w:szCs w:val="22"/>
        </w:rPr>
      </w:pPr>
      <w:r w:rsidRPr="005C4582">
        <w:rPr>
          <w:rFonts w:ascii="Arial" w:eastAsia="Arial" w:hAnsi="Arial" w:cs="Arial"/>
          <w:sz w:val="22"/>
          <w:szCs w:val="22"/>
        </w:rPr>
        <w:t>The university provides an outstanding learning environment with state-of-the-art facilities and modern infrastructure that support both teaching and practical training.</w:t>
      </w:r>
    </w:p>
    <w:p w14:paraId="1D70AC5F" w14:textId="77777777" w:rsidR="001E73AF" w:rsidRPr="005C4582" w:rsidRDefault="001E73AF" w:rsidP="005C4582">
      <w:pPr>
        <w:numPr>
          <w:ilvl w:val="0"/>
          <w:numId w:val="19"/>
        </w:numPr>
        <w:spacing w:line="276" w:lineRule="auto"/>
        <w:ind w:right="140"/>
        <w:jc w:val="both"/>
        <w:rPr>
          <w:sz w:val="22"/>
          <w:szCs w:val="22"/>
        </w:rPr>
      </w:pPr>
      <w:r w:rsidRPr="005C4582">
        <w:rPr>
          <w:rFonts w:ascii="Arial" w:eastAsia="Arial" w:hAnsi="Arial" w:cs="Arial"/>
          <w:sz w:val="22"/>
          <w:szCs w:val="22"/>
        </w:rPr>
        <w:t>The physical and digital infrastructure is designed to be inclusive, offering special software, technical equipment, and adapted workstations for users with disabilities.</w:t>
      </w:r>
    </w:p>
    <w:p w14:paraId="0691895D" w14:textId="77777777" w:rsidR="001E73AF" w:rsidRPr="005C4582" w:rsidRDefault="001E73AF" w:rsidP="005C4582">
      <w:pPr>
        <w:numPr>
          <w:ilvl w:val="0"/>
          <w:numId w:val="19"/>
        </w:numPr>
        <w:spacing w:line="276" w:lineRule="auto"/>
        <w:ind w:right="140"/>
        <w:jc w:val="both"/>
        <w:rPr>
          <w:sz w:val="22"/>
          <w:szCs w:val="22"/>
        </w:rPr>
      </w:pPr>
      <w:r w:rsidRPr="005C4582">
        <w:rPr>
          <w:rFonts w:ascii="Arial" w:eastAsia="Arial" w:hAnsi="Arial" w:cs="Arial"/>
          <w:sz w:val="22"/>
          <w:szCs w:val="22"/>
        </w:rPr>
        <w:t>VMU leverages its partner network to offer a wide range of internship opportunities.</w:t>
      </w:r>
    </w:p>
    <w:p w14:paraId="7ED4B860"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6B0D5CFB"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23A2E3C8" w14:textId="77777777" w:rsidR="00F66E6A" w:rsidRPr="005C4582" w:rsidRDefault="00F66E6A"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F66E6A" w:rsidRPr="002D0027" w14:paraId="59A4F568" w14:textId="77777777" w:rsidTr="00691695">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691695">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0A77B51D" w:rsidR="00F66E6A" w:rsidRPr="002D0027" w:rsidRDefault="000415D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70"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691695">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2D6BDB8C" w:rsidR="00F66E6A" w:rsidRPr="002D0027" w:rsidRDefault="000415D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70"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691695" w:rsidRDefault="00F66E6A" w:rsidP="00691695">
      <w:pPr>
        <w:spacing w:line="276" w:lineRule="auto"/>
        <w:ind w:right="140"/>
        <w:jc w:val="both"/>
        <w:rPr>
          <w:rFonts w:ascii="Arial" w:hAnsi="Arial" w:cs="Arial"/>
          <w:b/>
          <w:bCs/>
          <w:i/>
          <w:color w:val="5B0009"/>
          <w:sz w:val="22"/>
          <w:szCs w:val="22"/>
          <w:lang w:val="en-GB" w:eastAsia="lt-LT"/>
        </w:rPr>
      </w:pPr>
      <w:r w:rsidRPr="00691695">
        <w:rPr>
          <w:rFonts w:ascii="Arial" w:hAnsi="Arial" w:cs="Arial"/>
          <w:b/>
          <w:bCs/>
          <w:color w:val="5B0009"/>
          <w:sz w:val="22"/>
          <w:szCs w:val="22"/>
          <w:lang w:val="en-GB" w:eastAsia="lt-LT"/>
        </w:rPr>
        <w:t>COMMENDATIONS</w:t>
      </w:r>
    </w:p>
    <w:p w14:paraId="7A0F39F3" w14:textId="77777777" w:rsidR="00F66E6A" w:rsidRPr="00691695" w:rsidRDefault="00F66E6A" w:rsidP="00691695">
      <w:pPr>
        <w:spacing w:line="276" w:lineRule="auto"/>
        <w:ind w:right="140"/>
        <w:jc w:val="both"/>
        <w:rPr>
          <w:rFonts w:ascii="Arial" w:hAnsi="Arial" w:cs="Arial"/>
          <w:b/>
          <w:bCs/>
          <w:color w:val="136C73"/>
          <w:sz w:val="22"/>
          <w:szCs w:val="22"/>
          <w:lang w:val="en-GB" w:eastAsia="lt-LT"/>
        </w:rPr>
      </w:pPr>
    </w:p>
    <w:p w14:paraId="2F2B9AB9" w14:textId="77777777" w:rsidR="004F62F8" w:rsidRPr="00691695" w:rsidRDefault="004F62F8" w:rsidP="00691695">
      <w:pPr>
        <w:numPr>
          <w:ilvl w:val="0"/>
          <w:numId w:val="20"/>
        </w:numPr>
        <w:spacing w:line="276" w:lineRule="auto"/>
        <w:ind w:right="140"/>
        <w:jc w:val="both"/>
        <w:rPr>
          <w:rFonts w:ascii="Arial" w:eastAsia="Arial" w:hAnsi="Arial" w:cs="Arial"/>
          <w:sz w:val="22"/>
          <w:szCs w:val="22"/>
        </w:rPr>
      </w:pPr>
      <w:r w:rsidRPr="00691695">
        <w:rPr>
          <w:rFonts w:ascii="Arial" w:eastAsia="Arial" w:hAnsi="Arial" w:cs="Arial"/>
          <w:sz w:val="22"/>
          <w:szCs w:val="22"/>
        </w:rPr>
        <w:t>A substantial number of teaching staff is involved in the study programme committee ensuring broad internal quality assurance.</w:t>
      </w:r>
    </w:p>
    <w:p w14:paraId="36DB6B46" w14:textId="77777777" w:rsidR="004F62F8" w:rsidRPr="00691695" w:rsidRDefault="004F62F8" w:rsidP="00691695">
      <w:pPr>
        <w:numPr>
          <w:ilvl w:val="0"/>
          <w:numId w:val="20"/>
        </w:numPr>
        <w:spacing w:line="276" w:lineRule="auto"/>
        <w:ind w:right="140"/>
        <w:jc w:val="both"/>
        <w:rPr>
          <w:rFonts w:ascii="Arial" w:eastAsia="Arial" w:hAnsi="Arial" w:cs="Arial"/>
          <w:sz w:val="22"/>
          <w:szCs w:val="22"/>
        </w:rPr>
      </w:pPr>
      <w:r w:rsidRPr="00691695">
        <w:rPr>
          <w:rFonts w:ascii="Arial" w:eastAsia="Arial" w:hAnsi="Arial" w:cs="Arial"/>
          <w:sz w:val="22"/>
          <w:szCs w:val="22"/>
        </w:rPr>
        <w:t>The quality assurance system is responsive to needs by students and social partners.</w:t>
      </w:r>
    </w:p>
    <w:p w14:paraId="519DC327" w14:textId="34AAF972" w:rsidR="00F66E6A" w:rsidRPr="00691695" w:rsidRDefault="004F62F8" w:rsidP="00691695">
      <w:pPr>
        <w:numPr>
          <w:ilvl w:val="0"/>
          <w:numId w:val="20"/>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The political science programmes receive very good scores indicating high levels of student satisfaction.</w:t>
      </w:r>
    </w:p>
    <w:p w14:paraId="2C548569" w14:textId="77777777" w:rsidR="00F66E6A" w:rsidRPr="00691695" w:rsidRDefault="00F66E6A" w:rsidP="00691695">
      <w:pPr>
        <w:spacing w:line="276" w:lineRule="auto"/>
        <w:ind w:right="140"/>
        <w:jc w:val="both"/>
        <w:rPr>
          <w:rFonts w:ascii="Arial" w:hAnsi="Arial" w:cs="Arial"/>
          <w:b/>
          <w:bCs/>
          <w:color w:val="5B0009"/>
          <w:sz w:val="22"/>
          <w:szCs w:val="22"/>
          <w:lang w:val="en-GB" w:eastAsia="lt-LT"/>
        </w:rPr>
      </w:pPr>
      <w:r w:rsidRPr="00691695">
        <w:rPr>
          <w:rFonts w:ascii="Arial" w:hAnsi="Arial" w:cs="Arial"/>
          <w:b/>
          <w:bCs/>
          <w:color w:val="5B0009"/>
          <w:sz w:val="22"/>
          <w:szCs w:val="22"/>
          <w:lang w:val="en-GB" w:eastAsia="lt-LT"/>
        </w:rPr>
        <w:t>RECOMMENDATIONS</w:t>
      </w:r>
    </w:p>
    <w:p w14:paraId="618C0206" w14:textId="77777777" w:rsidR="00F66E6A" w:rsidRPr="00691695" w:rsidRDefault="00F66E6A" w:rsidP="00691695">
      <w:pPr>
        <w:tabs>
          <w:tab w:val="left" w:pos="1298"/>
          <w:tab w:val="left" w:pos="1985"/>
        </w:tabs>
        <w:spacing w:line="276" w:lineRule="auto"/>
        <w:ind w:right="140"/>
        <w:jc w:val="both"/>
        <w:rPr>
          <w:rFonts w:ascii="Arial" w:eastAsia="Calibri" w:hAnsi="Arial" w:cs="Arial"/>
          <w:iCs/>
          <w:sz w:val="22"/>
          <w:szCs w:val="22"/>
          <w:lang w:val="en-GB" w:eastAsia="lt-LT"/>
        </w:rPr>
      </w:pPr>
    </w:p>
    <w:p w14:paraId="53369C43" w14:textId="77777777" w:rsidR="00F66E6A" w:rsidRPr="00691695" w:rsidRDefault="00F66E6A" w:rsidP="00691695">
      <w:pPr>
        <w:tabs>
          <w:tab w:val="left" w:pos="1298"/>
          <w:tab w:val="left" w:pos="1985"/>
        </w:tabs>
        <w:spacing w:line="276" w:lineRule="auto"/>
        <w:ind w:right="140"/>
        <w:jc w:val="both"/>
        <w:rPr>
          <w:rFonts w:ascii="Arial" w:eastAsia="Calibri" w:hAnsi="Arial" w:cs="Arial"/>
          <w:iCs/>
          <w:color w:val="5B0009"/>
          <w:sz w:val="22"/>
          <w:szCs w:val="22"/>
          <w:lang w:val="en-GB" w:eastAsia="lt-LT"/>
        </w:rPr>
      </w:pPr>
      <w:r w:rsidRPr="00691695">
        <w:rPr>
          <w:rFonts w:ascii="Arial" w:eastAsia="Calibri" w:hAnsi="Arial" w:cs="Arial"/>
          <w:iCs/>
          <w:color w:val="5B0009"/>
          <w:sz w:val="22"/>
          <w:szCs w:val="22"/>
          <w:lang w:val="en-GB" w:eastAsia="lt-LT"/>
        </w:rPr>
        <w:t>For further improvement</w:t>
      </w:r>
    </w:p>
    <w:p w14:paraId="71158862" w14:textId="77777777" w:rsidR="00F66E6A" w:rsidRPr="00691695" w:rsidRDefault="00F66E6A" w:rsidP="00691695">
      <w:pPr>
        <w:tabs>
          <w:tab w:val="left" w:pos="1298"/>
          <w:tab w:val="left" w:pos="1985"/>
        </w:tabs>
        <w:spacing w:line="276" w:lineRule="auto"/>
        <w:ind w:right="140"/>
        <w:jc w:val="both"/>
        <w:rPr>
          <w:rFonts w:ascii="Arial" w:eastAsia="Calibri" w:hAnsi="Arial" w:cs="Arial"/>
          <w:iCs/>
          <w:sz w:val="22"/>
          <w:szCs w:val="22"/>
          <w:lang w:val="en-GB" w:eastAsia="lt-LT"/>
        </w:rPr>
      </w:pPr>
    </w:p>
    <w:p w14:paraId="42F6E58A" w14:textId="77777777" w:rsidR="009D18EE" w:rsidRPr="00691695" w:rsidRDefault="009D18EE" w:rsidP="00691695">
      <w:pPr>
        <w:numPr>
          <w:ilvl w:val="0"/>
          <w:numId w:val="21"/>
        </w:numPr>
        <w:spacing w:line="276" w:lineRule="auto"/>
        <w:ind w:right="140"/>
        <w:jc w:val="both"/>
        <w:rPr>
          <w:rFonts w:ascii="Arial" w:eastAsia="Arial" w:hAnsi="Arial" w:cs="Arial"/>
          <w:sz w:val="22"/>
          <w:szCs w:val="22"/>
        </w:rPr>
      </w:pPr>
      <w:r w:rsidRPr="00691695">
        <w:rPr>
          <w:rFonts w:ascii="Arial" w:eastAsia="Arial" w:hAnsi="Arial" w:cs="Arial"/>
          <w:sz w:val="22"/>
          <w:szCs w:val="22"/>
        </w:rPr>
        <w:t>Survey participation varies across VMU programmes in political science. This could be addressed by introducing some small rewards for participation or by close cooperation of student associations.</w:t>
      </w:r>
    </w:p>
    <w:p w14:paraId="14D0BBD2" w14:textId="77777777" w:rsidR="009D18EE" w:rsidRPr="00691695" w:rsidRDefault="009D18EE" w:rsidP="00691695">
      <w:pPr>
        <w:numPr>
          <w:ilvl w:val="0"/>
          <w:numId w:val="21"/>
        </w:numPr>
        <w:spacing w:line="276" w:lineRule="auto"/>
        <w:ind w:right="140"/>
        <w:jc w:val="both"/>
        <w:rPr>
          <w:rFonts w:ascii="Arial" w:eastAsia="Arial" w:hAnsi="Arial" w:cs="Arial"/>
          <w:sz w:val="22"/>
          <w:szCs w:val="22"/>
        </w:rPr>
      </w:pPr>
      <w:r w:rsidRPr="00691695">
        <w:rPr>
          <w:rFonts w:ascii="Arial" w:eastAsia="Arial" w:hAnsi="Arial" w:cs="Arial"/>
          <w:sz w:val="22"/>
          <w:szCs w:val="22"/>
        </w:rPr>
        <w:t>Strategic alumni involvement could be improved by offering some more strategic relationships involving them e.g. more actively in some of the research associated with the programmes.</w:t>
      </w:r>
    </w:p>
    <w:p w14:paraId="26C23537" w14:textId="77777777" w:rsidR="009D18EE" w:rsidRPr="00691695" w:rsidRDefault="009D18EE" w:rsidP="00691695">
      <w:pPr>
        <w:numPr>
          <w:ilvl w:val="0"/>
          <w:numId w:val="21"/>
        </w:numPr>
        <w:spacing w:line="276" w:lineRule="auto"/>
        <w:ind w:right="140"/>
        <w:jc w:val="both"/>
        <w:rPr>
          <w:rFonts w:ascii="Arial" w:eastAsia="Arial" w:hAnsi="Arial" w:cs="Arial"/>
          <w:sz w:val="22"/>
          <w:szCs w:val="22"/>
        </w:rPr>
      </w:pPr>
      <w:r w:rsidRPr="00691695">
        <w:rPr>
          <w:rFonts w:ascii="Arial" w:eastAsia="Arial" w:hAnsi="Arial" w:cs="Arial"/>
          <w:sz w:val="22"/>
          <w:szCs w:val="22"/>
        </w:rPr>
        <w:t>Informal (oral, in-class) mid-term evaluation could be introduced in order to implement course-level improvements “on-the-go”.</w:t>
      </w:r>
    </w:p>
    <w:p w14:paraId="0380553A" w14:textId="77777777" w:rsidR="009D18EE" w:rsidRPr="00691695" w:rsidRDefault="009D18EE" w:rsidP="00691695">
      <w:pPr>
        <w:numPr>
          <w:ilvl w:val="0"/>
          <w:numId w:val="21"/>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Develop systematic “Study Barometers” to gather comprehensive data over time.</w:t>
      </w:r>
    </w:p>
    <w:p w14:paraId="2153DD2F" w14:textId="3B7571FE" w:rsidR="006501B9" w:rsidRPr="00691695" w:rsidRDefault="00BB1255" w:rsidP="00691695">
      <w:pPr>
        <w:spacing w:line="276" w:lineRule="auto"/>
        <w:ind w:right="140"/>
        <w:jc w:val="both"/>
        <w:rPr>
          <w:rFonts w:ascii="Arial" w:eastAsia="Calibri" w:hAnsi="Arial" w:cs="Arial"/>
          <w:sz w:val="22"/>
          <w:szCs w:val="22"/>
          <w:lang w:val="en-GB" w:eastAsia="lt-LT"/>
        </w:rPr>
      </w:pPr>
      <w:r w:rsidRPr="00691695">
        <w:rPr>
          <w:rFonts w:ascii="Arial" w:eastAsia="Calibri" w:hAnsi="Arial" w:cs="Arial"/>
          <w:sz w:val="22"/>
          <w:szCs w:val="22"/>
          <w:lang w:val="en-GB" w:eastAsia="lt-LT"/>
        </w:rPr>
        <w:br w:type="page"/>
      </w:r>
    </w:p>
    <w:p w14:paraId="5F2E0E6D" w14:textId="2E1B5B09" w:rsidR="00A32D18" w:rsidRPr="006B249B" w:rsidRDefault="00F66E6A" w:rsidP="006B249B">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621BEC60"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Within the first- and second-cycle political science programmes at VMU, the expert panel found that all evaluation areas have been developed systematically, in compliance with legal requirements, and aligned with both academic training needs and labour market demands. The panel noted that recommendations from the previous evaluation had been addressed, with corrective actions taken where necessary. While the evaluation highlights several strengths, it also identifies areas requiring strategic improvement.</w:t>
      </w:r>
    </w:p>
    <w:p w14:paraId="64480899"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VMU maintains a strong regional identity, fosters good relationships with social partners, and aligns well with national higher education strategies. Although its programmes aim to equip students with relevant knowledge and skills, improvements are needed in articulating and assessing competences. The merger of three bachelor’s programmes into a single Political Studies programme remains an issue. The rationale for this restructuring was not clearly communicated to the expert panel, and faculty and administration provided inconsistent responses regarding future programme mergers. This indicates a need for better alignment between learning outcomes and teaching methods. Additionally, students reported ongoing curriculum changes, raising concerns about programmes’ stability. Core strengths from previous programmes, such as International Relations and World Politics, risk being diluted.</w:t>
      </w:r>
    </w:p>
    <w:p w14:paraId="3A7EBABC"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At the second-cycle level, the faculty’s expertise in public administration is a notable strength with significant potential for further development. However, the alignment between programmes’ learning outcomes and courses should be reviewed to ensure consistency with strategic goals and labour market needs. Improved communication across departments and increased faculty engagement in shaping the teaching portfolio are necessary to foster a cohesive academic environment while maintaining disciplinary identities. Furthermore, the panel found that the programmes’ online visibility is low, which may impact its attractiveness to prospective students.</w:t>
      </w:r>
    </w:p>
    <w:p w14:paraId="2ACEA061"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VMU’s political science research effectively addresses societal issues, and faculty members demonstrate strong research output. However, participation in international research projects remains low and stagnant. While faculty members engage in research clusters, conferences, and publications, student involvement in research remains inconsistent. Although research is integrated into teaching, student participation remains unsystematic. Previous evaluations noted similar concerns, and no clear improvements were evident. A strategic approach is needed to enhance student research engagement.</w:t>
      </w:r>
    </w:p>
    <w:p w14:paraId="53EB7A29"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The restructuring of the political science study field aims to enhance flexibility and appeal, yet unclear specialisation pathways on the university’s website remain an issue. While students have access to extensive academic mobility opportunities, including Erasmus+, participation in exchange programmes remains low. Many students struggle to balance work and study abroad, And addressing these challenges while emphasizing the long-term benefits of mobility could help increase participation. VMU provides strong student support services, including academic guidance, financial aid, counselling, and career development, fostering an inclusive academic environment.</w:t>
      </w:r>
    </w:p>
    <w:p w14:paraId="0BBA5755"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 xml:space="preserve">Teaching and learning methods effectively support student achievement. However, the increasing number of international students and the diversity of political science programmes create challenges in adapting teaching approaches. Internship opportunities also present difficulties, particularly regarding the timely dissemination of information, which needs improvement to enhance accessibility. While support for socially vulnerable and special-needs students is strong, ensuring equal access for foreign students remains a challenge. Student progress monitoring and feedback mechanisms are systematic, with generally high satisfaction levels. Graduate employability is well-tracked, and employer and alumni feedback on competencies is positive, though practical skills could be further strengthened. Tracking foreign graduates needs improvement, given the rising number of international </w:t>
      </w:r>
      <w:r w:rsidRPr="00691695">
        <w:rPr>
          <w:rFonts w:ascii="Arial" w:eastAsia="Arial" w:hAnsi="Arial" w:cs="Arial"/>
          <w:sz w:val="22"/>
          <w:szCs w:val="22"/>
        </w:rPr>
        <w:lastRenderedPageBreak/>
        <w:t>students. Career guidance services, while available, could be more comprehensive and better utilise alumni networks. Academic integrity, tolerance, and non-discrimination policies are effectively implemented, with no recorded violations. However, occasional concerns regarding bias in thesis topic selection were noted. The appeals and complaints process is transparent and accessible.</w:t>
      </w:r>
    </w:p>
    <w:p w14:paraId="06B50298"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VMU’s political science faculty consists of highly qualified academics with significant teaching and research expertise. The faculty maintains a balance between full-time researchers and part-time lecturers from social partners, ensuring both theoretical and practical dimensions. Interdisciplinary collaboration strengthens academic offerings, and favourable student-to-teacher ratios allow for individualised mentorship, particularly in thesis supervision. Staff retention supports a dynamic academic environment, yet faculty internationalisation remains limited and requires improvement. The European Universities Initiative (Transform4Europe – T4EU) presents an opportunity for international engagement, but its potential remains underutilised. Academic exchanges foster research collaborations and enrich curricula, while foreign academic engagement enhances VMU’s international reputation. Faculty participation in international activities has recently increased, and continuous professional development of teachers is incentivised through evaluations linking bonuses and salaries to academic growth. However, faculty internationalisation remains an area requiring further attention.</w:t>
      </w:r>
    </w:p>
    <w:p w14:paraId="693122DC"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VMU provides excellent study facilities, including modern physical spaces, advanced technology, and extensive academic resources, meeting both national and international standards.</w:t>
      </w:r>
    </w:p>
    <w:p w14:paraId="1D13411E"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Students express overall satisfaction with political science programmes. However, the restructuring of programmes requires a robust internal quality assurance system. Feedback collection relies mainly on surveys, though survey fatigue and low response rates are issues. While feedback is integrated into programmes’ development, graduate and alumni engagement in surveys remains limited, raising concerns about representativeness. The MIREES international master’s programme reported slightly lower exit satisfaction.</w:t>
      </w:r>
    </w:p>
    <w:p w14:paraId="06B5E4A8" w14:textId="77777777" w:rsidR="006B249B" w:rsidRPr="00691695" w:rsidRDefault="006B249B" w:rsidP="00691695">
      <w:pPr>
        <w:spacing w:before="240" w:after="240" w:line="276" w:lineRule="auto"/>
        <w:jc w:val="both"/>
        <w:rPr>
          <w:rFonts w:ascii="Arial" w:eastAsia="Arial" w:hAnsi="Arial" w:cs="Arial"/>
          <w:sz w:val="22"/>
          <w:szCs w:val="22"/>
        </w:rPr>
      </w:pPr>
      <w:r w:rsidRPr="00691695">
        <w:rPr>
          <w:rFonts w:ascii="Arial" w:eastAsia="Arial" w:hAnsi="Arial" w:cs="Arial"/>
          <w:sz w:val="22"/>
          <w:szCs w:val="22"/>
        </w:rPr>
        <w:t>Overall, VMU’s political science programmes demonstrate strong academic potential, active research engagement, and a commitment to inclusivity. However, key challenges remain in programmes’ restructuring, research engagement, and internationalisation. Addressing these through strategic planning, clearer communication, and enhanced participation in research and mobility initiatives will strengthen VMU’s academic standing and ensure long-term success.</w:t>
      </w:r>
    </w:p>
    <w:p w14:paraId="0B11C2D2" w14:textId="77777777" w:rsidR="006B249B" w:rsidRPr="00691695" w:rsidRDefault="006B249B" w:rsidP="00691695">
      <w:pPr>
        <w:spacing w:before="240" w:after="240" w:line="276" w:lineRule="auto"/>
        <w:jc w:val="both"/>
        <w:rPr>
          <w:rFonts w:ascii="Arial" w:eastAsia="Arial" w:hAnsi="Arial" w:cs="Arial"/>
          <w:sz w:val="22"/>
          <w:szCs w:val="22"/>
        </w:rPr>
      </w:pPr>
    </w:p>
    <w:p w14:paraId="53D417C7" w14:textId="77777777" w:rsidR="00A32D18" w:rsidRPr="00691695" w:rsidRDefault="00A32D18" w:rsidP="00691695">
      <w:pPr>
        <w:spacing w:after="200" w:line="276" w:lineRule="auto"/>
        <w:rPr>
          <w:rFonts w:ascii="Arial" w:hAnsi="Arial" w:cs="Arial"/>
          <w:b/>
          <w:bCs/>
          <w:color w:val="136C73"/>
          <w:sz w:val="22"/>
          <w:szCs w:val="22"/>
        </w:rPr>
      </w:pPr>
      <w:r w:rsidRPr="00691695">
        <w:rPr>
          <w:rFonts w:ascii="Arial" w:hAnsi="Arial" w:cs="Arial"/>
          <w:b/>
          <w:bCs/>
          <w:color w:val="136C73"/>
          <w:sz w:val="22"/>
          <w:szCs w:val="22"/>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68B70A24" w:rsidR="0042467A" w:rsidRPr="002D0027" w:rsidRDefault="00B659BF" w:rsidP="008F64DA">
      <w:pPr>
        <w:spacing w:line="276" w:lineRule="auto"/>
        <w:jc w:val="center"/>
        <w:rPr>
          <w:rFonts w:ascii="Arial" w:hAnsi="Arial" w:cs="Arial"/>
          <w:b/>
          <w:caps/>
        </w:rPr>
      </w:pPr>
      <w:r>
        <w:rPr>
          <w:rFonts w:ascii="Arial" w:hAnsi="Arial" w:cs="Arial"/>
          <w:b/>
          <w:caps/>
        </w:rPr>
        <w:t xml:space="preserve">vytauto didžipjo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kovo 17</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19</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11053FF2" w:rsidR="00291AB7" w:rsidRPr="00752780" w:rsidRDefault="00B659BF"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F48423B" w:rsidR="00291AB7" w:rsidRPr="00752780" w:rsidRDefault="00B659BF"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Vytauto Did</w:t>
      </w:r>
      <w:r w:rsidR="00C77CB9">
        <w:rPr>
          <w:rFonts w:ascii="Arial" w:eastAsia="Calibri" w:hAnsi="Arial" w:cs="Arial"/>
          <w:b/>
          <w:iCs/>
          <w:color w:val="5B0009"/>
          <w:sz w:val="40"/>
          <w:szCs w:val="40"/>
          <w:lang w:eastAsia="lt-LT"/>
        </w:rPr>
        <w:t>žiojo</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656149E2"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8A1A03">
              <w:rPr>
                <w:rFonts w:ascii="Arial" w:eastAsia="Arial" w:hAnsi="Arial" w:cs="Arial"/>
              </w:rPr>
              <w:t xml:space="preserve">Stefan Gänzle </w:t>
            </w:r>
            <w:r w:rsidRPr="00752780">
              <w:rPr>
                <w:rFonts w:ascii="Arial" w:eastAsia="Calibri" w:hAnsi="Arial" w:cs="Arial"/>
                <w:iCs/>
                <w:lang w:val="lt-LT" w:eastAsia="lt-LT"/>
              </w:rPr>
              <w:t>………………………... (parašas)</w:t>
            </w:r>
          </w:p>
          <w:p w14:paraId="17AA915F" w14:textId="535926D7"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0643A3">
              <w:rPr>
                <w:rFonts w:ascii="Arial" w:eastAsia="Arial" w:hAnsi="Arial" w:cs="Arial"/>
              </w:rPr>
              <w:t>Anu Toots</w:t>
            </w:r>
          </w:p>
          <w:p w14:paraId="270F0952" w14:textId="20374619"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135FED">
              <w:rPr>
                <w:rFonts w:ascii="Arial" w:eastAsia="Arial" w:hAnsi="Arial" w:cs="Arial"/>
              </w:rPr>
              <w:t>Simonas Gaušas</w:t>
            </w:r>
          </w:p>
          <w:p w14:paraId="06E562F0" w14:textId="387FC4D0"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921CA5">
              <w:rPr>
                <w:rFonts w:ascii="Arial" w:eastAsia="Arial" w:hAnsi="Arial" w:cs="Arial"/>
              </w:rPr>
              <w:t>Karolina Markauskaitė</w:t>
            </w:r>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13BDD803"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127826">
              <w:rPr>
                <w:rFonts w:ascii="Arial" w:eastAsia="Arial" w:hAnsi="Arial" w:cs="Arial"/>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4FA3B03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127826">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Default="00535C59" w:rsidP="00291AB7">
      <w:pPr>
        <w:pStyle w:val="NoSpacing"/>
        <w:jc w:val="center"/>
        <w:rPr>
          <w:rFonts w:ascii="Arial" w:hAnsi="Arial" w:cs="Arial"/>
          <w:iCs/>
          <w:color w:val="5B0009"/>
          <w:szCs w:val="24"/>
          <w:lang w:eastAsia="lt-LT"/>
        </w:rPr>
      </w:pPr>
    </w:p>
    <w:p w14:paraId="5757E22F" w14:textId="77777777" w:rsidR="007652CA" w:rsidRPr="00752780" w:rsidRDefault="007652CA"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TableGrid"/>
        <w:tblW w:w="5000" w:type="pct"/>
        <w:tblLayout w:type="fixed"/>
        <w:tblLook w:val="04A0" w:firstRow="1" w:lastRow="0" w:firstColumn="1" w:lastColumn="0" w:noHBand="0" w:noVBand="1"/>
      </w:tblPr>
      <w:tblGrid>
        <w:gridCol w:w="3293"/>
        <w:gridCol w:w="3239"/>
        <w:gridCol w:w="3237"/>
      </w:tblGrid>
      <w:tr w:rsidR="00D54447" w:rsidRPr="002D0027" w14:paraId="72D5471F" w14:textId="77777777" w:rsidTr="00D54447">
        <w:trPr>
          <w:trHeight w:val="510"/>
        </w:trPr>
        <w:tc>
          <w:tcPr>
            <w:tcW w:w="1685" w:type="pct"/>
            <w:shd w:val="clear" w:color="auto" w:fill="5B0009"/>
            <w:vAlign w:val="center"/>
          </w:tcPr>
          <w:p w14:paraId="1E1D036F" w14:textId="0394CEC2"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A198287" w14:textId="646EA3FC" w:rsidR="00D54447" w:rsidRPr="00691695" w:rsidRDefault="00D54447" w:rsidP="00D54447">
            <w:pPr>
              <w:rPr>
                <w:rFonts w:ascii="Arial" w:eastAsiaTheme="majorEastAsia" w:hAnsi="Arial" w:cs="Arial"/>
                <w:b/>
                <w:iCs/>
                <w:sz w:val="22"/>
                <w:szCs w:val="22"/>
              </w:rPr>
            </w:pPr>
            <w:r w:rsidRPr="00691695">
              <w:rPr>
                <w:rFonts w:ascii="Arial" w:eastAsia="Arial" w:hAnsi="Arial" w:cs="Arial"/>
                <w:b/>
                <w:sz w:val="22"/>
                <w:szCs w:val="22"/>
              </w:rPr>
              <w:t>Politikos mokslai</w:t>
            </w:r>
          </w:p>
        </w:tc>
        <w:tc>
          <w:tcPr>
            <w:tcW w:w="1657" w:type="pct"/>
            <w:shd w:val="clear" w:color="136C73" w:fill="FFFFFF" w:themeFill="background1"/>
            <w:vAlign w:val="center"/>
          </w:tcPr>
          <w:p w14:paraId="1FB160A4" w14:textId="41ABDE58" w:rsidR="00D54447" w:rsidRPr="00691695" w:rsidRDefault="008329B5" w:rsidP="00D54447">
            <w:pPr>
              <w:rPr>
                <w:rFonts w:ascii="Arial" w:eastAsiaTheme="majorEastAsia" w:hAnsi="Arial" w:cs="Arial"/>
                <w:b/>
                <w:iCs/>
                <w:sz w:val="22"/>
                <w:szCs w:val="22"/>
              </w:rPr>
            </w:pPr>
            <w:r w:rsidRPr="00691695">
              <w:rPr>
                <w:rFonts w:ascii="Arial" w:eastAsia="Arial" w:hAnsi="Arial" w:cs="Arial"/>
                <w:b/>
                <w:sz w:val="22"/>
                <w:szCs w:val="22"/>
              </w:rPr>
              <w:t>Pasaulio politika ir ekonomika</w:t>
            </w:r>
          </w:p>
        </w:tc>
      </w:tr>
      <w:tr w:rsidR="00D54447" w:rsidRPr="002D0027" w14:paraId="4D4798B6" w14:textId="77777777" w:rsidTr="00D54447">
        <w:trPr>
          <w:trHeight w:val="510"/>
        </w:trPr>
        <w:tc>
          <w:tcPr>
            <w:tcW w:w="1685" w:type="pct"/>
            <w:shd w:val="clear" w:color="auto" w:fill="5B0009"/>
            <w:vAlign w:val="center"/>
          </w:tcPr>
          <w:p w14:paraId="7B165E67" w14:textId="52A2928F"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4309639" w14:textId="21F23306" w:rsidR="00D54447" w:rsidRPr="00691695" w:rsidRDefault="00D54447" w:rsidP="00D54447">
            <w:pPr>
              <w:rPr>
                <w:rStyle w:val="fontstyle01"/>
                <w:rFonts w:ascii="Arial" w:eastAsiaTheme="majorEastAsia" w:hAnsi="Arial" w:cs="Arial"/>
                <w:bCs/>
                <w:iCs/>
                <w:sz w:val="22"/>
                <w:szCs w:val="22"/>
              </w:rPr>
            </w:pPr>
            <w:r w:rsidRPr="00691695">
              <w:rPr>
                <w:rFonts w:ascii="Arial" w:eastAsia="Arial" w:hAnsi="Arial" w:cs="Arial"/>
                <w:sz w:val="22"/>
                <w:szCs w:val="22"/>
              </w:rPr>
              <w:t>6121JX038</w:t>
            </w:r>
          </w:p>
        </w:tc>
        <w:tc>
          <w:tcPr>
            <w:tcW w:w="1657" w:type="pct"/>
            <w:vAlign w:val="center"/>
          </w:tcPr>
          <w:p w14:paraId="76FFC579" w14:textId="639C1F88"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6121JX037</w:t>
            </w:r>
          </w:p>
        </w:tc>
      </w:tr>
      <w:tr w:rsidR="00D54447" w:rsidRPr="002D0027" w14:paraId="4562B952" w14:textId="77777777" w:rsidTr="00D54447">
        <w:trPr>
          <w:trHeight w:val="510"/>
        </w:trPr>
        <w:tc>
          <w:tcPr>
            <w:tcW w:w="1685" w:type="pct"/>
            <w:shd w:val="clear" w:color="auto" w:fill="5B0009"/>
            <w:vAlign w:val="center"/>
          </w:tcPr>
          <w:p w14:paraId="4EBA4B5E" w14:textId="44DCBD5F"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5BEA3967" w14:textId="18E83EE0"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Universit</w:t>
            </w:r>
            <w:r w:rsidR="007D08A2" w:rsidRPr="00691695">
              <w:rPr>
                <w:rFonts w:ascii="Arial" w:eastAsia="Arial" w:hAnsi="Arial" w:cs="Arial"/>
                <w:sz w:val="22"/>
                <w:szCs w:val="22"/>
              </w:rPr>
              <w:t>inė</w:t>
            </w:r>
          </w:p>
        </w:tc>
        <w:tc>
          <w:tcPr>
            <w:tcW w:w="1657" w:type="pct"/>
            <w:vAlign w:val="center"/>
          </w:tcPr>
          <w:p w14:paraId="43A8FF9B" w14:textId="6A1B66F8" w:rsidR="00D54447" w:rsidRPr="00691695" w:rsidRDefault="007D08A2" w:rsidP="00D54447">
            <w:pPr>
              <w:rPr>
                <w:rFonts w:ascii="Arial" w:eastAsiaTheme="majorEastAsia" w:hAnsi="Arial" w:cs="Arial"/>
                <w:bCs/>
                <w:iCs/>
                <w:sz w:val="22"/>
                <w:szCs w:val="22"/>
              </w:rPr>
            </w:pPr>
            <w:r w:rsidRPr="00691695">
              <w:rPr>
                <w:rFonts w:ascii="Arial" w:eastAsia="Arial" w:hAnsi="Arial" w:cs="Arial"/>
                <w:sz w:val="22"/>
                <w:szCs w:val="22"/>
              </w:rPr>
              <w:t>Universitinė</w:t>
            </w:r>
          </w:p>
        </w:tc>
      </w:tr>
      <w:tr w:rsidR="00D54447" w:rsidRPr="002D0027" w14:paraId="459A442A" w14:textId="77777777" w:rsidTr="00D54447">
        <w:trPr>
          <w:trHeight w:val="510"/>
        </w:trPr>
        <w:tc>
          <w:tcPr>
            <w:tcW w:w="1685" w:type="pct"/>
            <w:shd w:val="clear" w:color="auto" w:fill="5B0009"/>
            <w:vAlign w:val="center"/>
          </w:tcPr>
          <w:p w14:paraId="776C5AB9" w14:textId="6210ACA4"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12E1668B" w14:textId="40C84D91" w:rsidR="00D54447" w:rsidRPr="00691695" w:rsidRDefault="00A13567" w:rsidP="00D54447">
            <w:pPr>
              <w:rPr>
                <w:rFonts w:ascii="Arial" w:eastAsiaTheme="majorEastAsia" w:hAnsi="Arial" w:cs="Arial"/>
                <w:bCs/>
                <w:iCs/>
                <w:sz w:val="22"/>
                <w:szCs w:val="22"/>
              </w:rPr>
            </w:pPr>
            <w:r w:rsidRPr="00691695">
              <w:rPr>
                <w:rFonts w:ascii="Arial" w:eastAsia="Arial" w:hAnsi="Arial" w:cs="Arial"/>
                <w:sz w:val="22"/>
                <w:szCs w:val="22"/>
              </w:rPr>
              <w:t>Nuolatinė</w:t>
            </w:r>
            <w:r w:rsidR="00D54447" w:rsidRPr="00691695">
              <w:rPr>
                <w:rFonts w:ascii="Arial" w:eastAsia="Arial" w:hAnsi="Arial" w:cs="Arial"/>
                <w:sz w:val="22"/>
                <w:szCs w:val="22"/>
              </w:rPr>
              <w:t xml:space="preserve">, 4 </w:t>
            </w:r>
            <w:r w:rsidR="00B830B2" w:rsidRPr="00691695">
              <w:rPr>
                <w:rFonts w:ascii="Arial" w:eastAsia="Arial" w:hAnsi="Arial" w:cs="Arial"/>
                <w:sz w:val="22"/>
                <w:szCs w:val="22"/>
              </w:rPr>
              <w:t>m.</w:t>
            </w:r>
          </w:p>
        </w:tc>
        <w:tc>
          <w:tcPr>
            <w:tcW w:w="1657" w:type="pct"/>
            <w:vAlign w:val="center"/>
          </w:tcPr>
          <w:p w14:paraId="6C27955F" w14:textId="12459693" w:rsidR="00D54447" w:rsidRPr="00691695" w:rsidRDefault="00A13567" w:rsidP="00D54447">
            <w:pPr>
              <w:rPr>
                <w:rFonts w:ascii="Arial" w:eastAsiaTheme="majorEastAsia" w:hAnsi="Arial" w:cs="Arial"/>
                <w:bCs/>
                <w:iCs/>
                <w:sz w:val="22"/>
                <w:szCs w:val="22"/>
              </w:rPr>
            </w:pPr>
            <w:r w:rsidRPr="00691695">
              <w:rPr>
                <w:rFonts w:ascii="Arial" w:eastAsia="Arial" w:hAnsi="Arial" w:cs="Arial"/>
                <w:sz w:val="22"/>
                <w:szCs w:val="22"/>
              </w:rPr>
              <w:t xml:space="preserve">Nuolatinė </w:t>
            </w:r>
            <w:r w:rsidR="00D54447" w:rsidRPr="00691695">
              <w:rPr>
                <w:rFonts w:ascii="Arial" w:eastAsia="Arial" w:hAnsi="Arial" w:cs="Arial"/>
                <w:sz w:val="22"/>
                <w:szCs w:val="22"/>
              </w:rPr>
              <w:t xml:space="preserve">4 </w:t>
            </w:r>
            <w:r w:rsidR="00B830B2" w:rsidRPr="00691695">
              <w:rPr>
                <w:rFonts w:ascii="Arial" w:eastAsia="Arial" w:hAnsi="Arial" w:cs="Arial"/>
                <w:sz w:val="22"/>
                <w:szCs w:val="22"/>
              </w:rPr>
              <w:t>m.</w:t>
            </w:r>
          </w:p>
        </w:tc>
      </w:tr>
      <w:tr w:rsidR="00D54447" w:rsidRPr="002D0027" w14:paraId="7BC931AD" w14:textId="77777777" w:rsidTr="00D54447">
        <w:trPr>
          <w:trHeight w:val="510"/>
        </w:trPr>
        <w:tc>
          <w:tcPr>
            <w:tcW w:w="1685" w:type="pct"/>
            <w:shd w:val="clear" w:color="auto" w:fill="5B0009"/>
            <w:vAlign w:val="center"/>
          </w:tcPr>
          <w:p w14:paraId="4A35D367" w14:textId="6B4FD070"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0DFBEF96" w14:textId="35A35898"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240</w:t>
            </w:r>
          </w:p>
        </w:tc>
        <w:tc>
          <w:tcPr>
            <w:tcW w:w="1657" w:type="pct"/>
            <w:vAlign w:val="center"/>
          </w:tcPr>
          <w:p w14:paraId="152306D1" w14:textId="568A80A1"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240</w:t>
            </w:r>
          </w:p>
        </w:tc>
      </w:tr>
      <w:tr w:rsidR="00D54447" w:rsidRPr="002D0027" w14:paraId="417BA710" w14:textId="77777777" w:rsidTr="00D54447">
        <w:trPr>
          <w:trHeight w:val="510"/>
        </w:trPr>
        <w:tc>
          <w:tcPr>
            <w:tcW w:w="1685" w:type="pct"/>
            <w:shd w:val="clear" w:color="auto" w:fill="5B0009"/>
            <w:vAlign w:val="center"/>
          </w:tcPr>
          <w:p w14:paraId="7083AB10" w14:textId="44490DBD"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06467057" w14:textId="1B421F2E"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Socialinių mokslų bakalauras</w:t>
            </w:r>
          </w:p>
        </w:tc>
        <w:tc>
          <w:tcPr>
            <w:tcW w:w="1657" w:type="pct"/>
            <w:vAlign w:val="center"/>
          </w:tcPr>
          <w:p w14:paraId="57505FE5" w14:textId="447BBBE6"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Socialinių mokslų bakalauras</w:t>
            </w:r>
          </w:p>
        </w:tc>
      </w:tr>
      <w:tr w:rsidR="00D54447" w:rsidRPr="002D0027" w14:paraId="75E45DFC" w14:textId="77777777" w:rsidTr="00D54447">
        <w:trPr>
          <w:trHeight w:val="510"/>
        </w:trPr>
        <w:tc>
          <w:tcPr>
            <w:tcW w:w="1685" w:type="pct"/>
            <w:shd w:val="clear" w:color="auto" w:fill="5B0009"/>
            <w:vAlign w:val="center"/>
          </w:tcPr>
          <w:p w14:paraId="3FC4E69B" w14:textId="139CB325"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7FCFA152" w14:textId="319D9B23"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Lietuvių</w:t>
            </w:r>
          </w:p>
        </w:tc>
        <w:tc>
          <w:tcPr>
            <w:tcW w:w="1657" w:type="pct"/>
            <w:vAlign w:val="center"/>
          </w:tcPr>
          <w:p w14:paraId="5B6CBEE6" w14:textId="76E10932"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Anglų</w:t>
            </w:r>
          </w:p>
        </w:tc>
      </w:tr>
      <w:tr w:rsidR="00D54447" w:rsidRPr="002D0027" w14:paraId="79E02768" w14:textId="77777777" w:rsidTr="00D54447">
        <w:trPr>
          <w:trHeight w:val="510"/>
        </w:trPr>
        <w:tc>
          <w:tcPr>
            <w:tcW w:w="1685" w:type="pct"/>
            <w:shd w:val="clear" w:color="auto" w:fill="5B0009"/>
            <w:vAlign w:val="center"/>
          </w:tcPr>
          <w:p w14:paraId="54F683FB" w14:textId="26287424"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103222B5" w14:textId="117CCE37"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Vidurinis išsilavinimas</w:t>
            </w:r>
          </w:p>
        </w:tc>
        <w:tc>
          <w:tcPr>
            <w:tcW w:w="1657" w:type="pct"/>
            <w:vAlign w:val="center"/>
          </w:tcPr>
          <w:p w14:paraId="6E6A2A28" w14:textId="34AFB421"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Vidurinis išsilavinimas</w:t>
            </w:r>
          </w:p>
        </w:tc>
      </w:tr>
      <w:tr w:rsidR="00D54447" w:rsidRPr="002D0027" w14:paraId="212B2B8F" w14:textId="77777777" w:rsidTr="00D54447">
        <w:trPr>
          <w:trHeight w:val="510"/>
        </w:trPr>
        <w:tc>
          <w:tcPr>
            <w:tcW w:w="1685" w:type="pct"/>
            <w:shd w:val="clear" w:color="auto" w:fill="5B0009"/>
            <w:vAlign w:val="center"/>
          </w:tcPr>
          <w:p w14:paraId="2754A9C2" w14:textId="1B6E29D9"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76013D62" w14:textId="4A5C6259" w:rsidR="00D54447" w:rsidRPr="00691695" w:rsidRDefault="008F198C" w:rsidP="00D54447">
            <w:pPr>
              <w:rPr>
                <w:rStyle w:val="fontstyle01"/>
                <w:rFonts w:ascii="Arial" w:eastAsiaTheme="majorEastAsia" w:hAnsi="Arial" w:cs="Arial"/>
                <w:bCs/>
                <w:iCs/>
                <w:sz w:val="22"/>
                <w:szCs w:val="22"/>
              </w:rPr>
            </w:pPr>
            <w:r w:rsidRPr="00691695">
              <w:rPr>
                <w:rFonts w:ascii="Arial" w:eastAsia="Arial" w:hAnsi="Arial" w:cs="Arial"/>
                <w:sz w:val="22"/>
                <w:szCs w:val="22"/>
              </w:rPr>
              <w:t>1997 05 19 Nr. 565 įregistruota kaip ,,Politologija”, 2001 08 01 Nr. 1187 pavadinimas pakeistas į ,,Politikos mokslų”</w:t>
            </w:r>
          </w:p>
        </w:tc>
        <w:tc>
          <w:tcPr>
            <w:tcW w:w="1657" w:type="pct"/>
            <w:vAlign w:val="center"/>
          </w:tcPr>
          <w:p w14:paraId="289CC480" w14:textId="50905D0B"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2013-05-08</w:t>
            </w:r>
          </w:p>
        </w:tc>
      </w:tr>
      <w:tr w:rsidR="00D54447" w:rsidRPr="002D0027" w14:paraId="2B8B2012" w14:textId="77777777" w:rsidTr="00D54447">
        <w:trPr>
          <w:trHeight w:val="510"/>
        </w:trPr>
        <w:tc>
          <w:tcPr>
            <w:tcW w:w="1685" w:type="pct"/>
            <w:shd w:val="clear" w:color="auto" w:fill="5B0009"/>
            <w:vAlign w:val="center"/>
          </w:tcPr>
          <w:p w14:paraId="1032C440" w14:textId="1BFC645C"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069F80AD" w14:textId="4D4E4D55" w:rsidR="00D54447" w:rsidRPr="00691695" w:rsidRDefault="00D54447" w:rsidP="00D54447">
            <w:pPr>
              <w:rPr>
                <w:rStyle w:val="fontstyle01"/>
                <w:rFonts w:ascii="Arial" w:eastAsiaTheme="majorEastAsia" w:hAnsi="Arial" w:cs="Arial"/>
                <w:bCs/>
                <w:iCs/>
                <w:sz w:val="22"/>
                <w:szCs w:val="22"/>
              </w:rPr>
            </w:pPr>
            <w:r w:rsidRPr="00691695">
              <w:rPr>
                <w:rFonts w:ascii="Arial" w:eastAsia="Arial" w:hAnsi="Arial" w:cs="Arial"/>
                <w:sz w:val="22"/>
                <w:szCs w:val="22"/>
              </w:rPr>
              <w:t>N/A</w:t>
            </w:r>
          </w:p>
        </w:tc>
        <w:tc>
          <w:tcPr>
            <w:tcW w:w="1657" w:type="pct"/>
            <w:vAlign w:val="center"/>
          </w:tcPr>
          <w:p w14:paraId="301833E2" w14:textId="4FF983A7"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N/A</w:t>
            </w:r>
          </w:p>
        </w:tc>
      </w:tr>
    </w:tbl>
    <w:p w14:paraId="051D7A26" w14:textId="77777777" w:rsidR="00291AB7" w:rsidRDefault="00291AB7" w:rsidP="00291AB7">
      <w:pPr>
        <w:rPr>
          <w:rFonts w:ascii="Arial" w:hAnsi="Arial" w:cs="Arial"/>
          <w:iCs/>
          <w:color w:val="136C73"/>
          <w:sz w:val="22"/>
          <w:szCs w:val="22"/>
          <w:lang w:eastAsia="lt-LT"/>
        </w:rPr>
      </w:pPr>
    </w:p>
    <w:p w14:paraId="3AAEA077" w14:textId="344A2558" w:rsidR="00DC797A" w:rsidRPr="00DC797A" w:rsidRDefault="00DC797A"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TableGrid"/>
        <w:tblW w:w="5000" w:type="pct"/>
        <w:tblLayout w:type="fixed"/>
        <w:tblLook w:val="04A0" w:firstRow="1" w:lastRow="0" w:firstColumn="1" w:lastColumn="0" w:noHBand="0" w:noVBand="1"/>
      </w:tblPr>
      <w:tblGrid>
        <w:gridCol w:w="3293"/>
        <w:gridCol w:w="3239"/>
        <w:gridCol w:w="3237"/>
      </w:tblGrid>
      <w:tr w:rsidR="00D54447" w:rsidRPr="002D0027" w14:paraId="5BD1C5D4" w14:textId="77777777" w:rsidTr="00D54447">
        <w:trPr>
          <w:trHeight w:val="510"/>
        </w:trPr>
        <w:tc>
          <w:tcPr>
            <w:tcW w:w="1685" w:type="pct"/>
            <w:shd w:val="clear" w:color="auto" w:fill="5B0009"/>
            <w:vAlign w:val="center"/>
          </w:tcPr>
          <w:p w14:paraId="3B03E452"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1F5AF741" w14:textId="1F643D79" w:rsidR="00D54447" w:rsidRPr="00691695" w:rsidRDefault="008329B5" w:rsidP="00D54447">
            <w:pPr>
              <w:rPr>
                <w:rFonts w:ascii="Arial" w:eastAsiaTheme="majorEastAsia" w:hAnsi="Arial" w:cs="Arial"/>
                <w:b/>
                <w:iCs/>
                <w:sz w:val="22"/>
                <w:szCs w:val="22"/>
              </w:rPr>
            </w:pPr>
            <w:r w:rsidRPr="00691695">
              <w:rPr>
                <w:rFonts w:ascii="Arial" w:eastAsia="Arial" w:hAnsi="Arial" w:cs="Arial"/>
                <w:b/>
                <w:sz w:val="22"/>
                <w:szCs w:val="22"/>
              </w:rPr>
              <w:t>Tarptautinės politikos ir vystymo studijos</w:t>
            </w:r>
          </w:p>
        </w:tc>
        <w:tc>
          <w:tcPr>
            <w:tcW w:w="1657" w:type="pct"/>
            <w:shd w:val="clear" w:color="136C73" w:fill="FFFFFF" w:themeFill="background1"/>
            <w:vAlign w:val="center"/>
          </w:tcPr>
          <w:p w14:paraId="7FCC4DCE" w14:textId="5CA83FB3" w:rsidR="00D54447" w:rsidRPr="00691695" w:rsidRDefault="008329B5" w:rsidP="00D54447">
            <w:pPr>
              <w:rPr>
                <w:rFonts w:ascii="Arial" w:eastAsiaTheme="majorEastAsia" w:hAnsi="Arial" w:cs="Arial"/>
                <w:b/>
                <w:iCs/>
                <w:sz w:val="22"/>
                <w:szCs w:val="22"/>
              </w:rPr>
            </w:pPr>
            <w:r w:rsidRPr="00691695">
              <w:rPr>
                <w:rFonts w:ascii="Arial" w:eastAsia="Arial" w:hAnsi="Arial" w:cs="Arial"/>
                <w:b/>
                <w:sz w:val="22"/>
                <w:szCs w:val="22"/>
              </w:rPr>
              <w:t>Viešasis administravimas</w:t>
            </w:r>
          </w:p>
        </w:tc>
      </w:tr>
      <w:tr w:rsidR="00D54447" w:rsidRPr="002D0027" w14:paraId="30254632" w14:textId="77777777" w:rsidTr="00D54447">
        <w:trPr>
          <w:trHeight w:val="510"/>
        </w:trPr>
        <w:tc>
          <w:tcPr>
            <w:tcW w:w="1685" w:type="pct"/>
            <w:shd w:val="clear" w:color="auto" w:fill="5B0009"/>
            <w:vAlign w:val="center"/>
          </w:tcPr>
          <w:p w14:paraId="199F48BC"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0EB60B4C" w14:textId="3DAC1C0A" w:rsidR="00D54447" w:rsidRPr="00691695" w:rsidRDefault="00D54447" w:rsidP="00D54447">
            <w:pPr>
              <w:rPr>
                <w:rStyle w:val="fontstyle01"/>
                <w:rFonts w:ascii="Arial" w:eastAsiaTheme="majorEastAsia" w:hAnsi="Arial" w:cs="Arial"/>
                <w:bCs/>
                <w:iCs/>
                <w:sz w:val="22"/>
                <w:szCs w:val="22"/>
              </w:rPr>
            </w:pPr>
            <w:r w:rsidRPr="00691695">
              <w:rPr>
                <w:rFonts w:ascii="Arial" w:eastAsia="Arial" w:hAnsi="Arial" w:cs="Arial"/>
                <w:sz w:val="22"/>
                <w:szCs w:val="22"/>
              </w:rPr>
              <w:t>6121JX043</w:t>
            </w:r>
          </w:p>
        </w:tc>
        <w:tc>
          <w:tcPr>
            <w:tcW w:w="1657" w:type="pct"/>
            <w:vAlign w:val="center"/>
          </w:tcPr>
          <w:p w14:paraId="78DC2285" w14:textId="0EBC8DA4"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6122LJ001</w:t>
            </w:r>
          </w:p>
        </w:tc>
      </w:tr>
      <w:tr w:rsidR="00D54447" w:rsidRPr="002D0027" w14:paraId="6C97F1D7" w14:textId="77777777" w:rsidTr="00D54447">
        <w:trPr>
          <w:trHeight w:val="510"/>
        </w:trPr>
        <w:tc>
          <w:tcPr>
            <w:tcW w:w="1685" w:type="pct"/>
            <w:shd w:val="clear" w:color="auto" w:fill="5B0009"/>
            <w:vAlign w:val="center"/>
          </w:tcPr>
          <w:p w14:paraId="2102CC00"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0358DBB1" w14:textId="10C37FC7" w:rsidR="00D54447" w:rsidRPr="00691695" w:rsidRDefault="007D08A2" w:rsidP="00D54447">
            <w:pPr>
              <w:rPr>
                <w:rFonts w:ascii="Arial" w:eastAsiaTheme="majorEastAsia" w:hAnsi="Arial" w:cs="Arial"/>
                <w:bCs/>
                <w:iCs/>
                <w:sz w:val="22"/>
                <w:szCs w:val="22"/>
              </w:rPr>
            </w:pPr>
            <w:r w:rsidRPr="00691695">
              <w:rPr>
                <w:rFonts w:ascii="Arial" w:eastAsia="Arial" w:hAnsi="Arial" w:cs="Arial"/>
                <w:sz w:val="22"/>
                <w:szCs w:val="22"/>
              </w:rPr>
              <w:t>Universitinė</w:t>
            </w:r>
          </w:p>
        </w:tc>
        <w:tc>
          <w:tcPr>
            <w:tcW w:w="1657" w:type="pct"/>
            <w:vAlign w:val="center"/>
          </w:tcPr>
          <w:p w14:paraId="02F0D7EB" w14:textId="0A9EE818" w:rsidR="00D54447" w:rsidRPr="00691695" w:rsidRDefault="007D08A2" w:rsidP="00D54447">
            <w:pPr>
              <w:rPr>
                <w:rFonts w:ascii="Arial" w:eastAsiaTheme="majorEastAsia" w:hAnsi="Arial" w:cs="Arial"/>
                <w:bCs/>
                <w:iCs/>
                <w:sz w:val="22"/>
                <w:szCs w:val="22"/>
              </w:rPr>
            </w:pPr>
            <w:r w:rsidRPr="00691695">
              <w:rPr>
                <w:rFonts w:ascii="Arial" w:eastAsia="Arial" w:hAnsi="Arial" w:cs="Arial"/>
                <w:sz w:val="22"/>
                <w:szCs w:val="22"/>
              </w:rPr>
              <w:t>Universitinė</w:t>
            </w:r>
          </w:p>
        </w:tc>
      </w:tr>
      <w:tr w:rsidR="00D54447" w:rsidRPr="002D0027" w14:paraId="471BC0C5" w14:textId="77777777" w:rsidTr="00D54447">
        <w:trPr>
          <w:trHeight w:val="510"/>
        </w:trPr>
        <w:tc>
          <w:tcPr>
            <w:tcW w:w="1685" w:type="pct"/>
            <w:shd w:val="clear" w:color="auto" w:fill="5B0009"/>
            <w:vAlign w:val="center"/>
          </w:tcPr>
          <w:p w14:paraId="1C25AA0A"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6BF8FF72" w14:textId="4BF722CD" w:rsidR="00D54447" w:rsidRPr="00691695" w:rsidRDefault="00A13567" w:rsidP="00D54447">
            <w:pPr>
              <w:rPr>
                <w:rFonts w:ascii="Arial" w:eastAsiaTheme="majorEastAsia" w:hAnsi="Arial" w:cs="Arial"/>
                <w:bCs/>
                <w:iCs/>
                <w:sz w:val="22"/>
                <w:szCs w:val="22"/>
              </w:rPr>
            </w:pPr>
            <w:r w:rsidRPr="00691695">
              <w:rPr>
                <w:rFonts w:ascii="Arial" w:eastAsia="Arial" w:hAnsi="Arial" w:cs="Arial"/>
                <w:sz w:val="22"/>
                <w:szCs w:val="22"/>
              </w:rPr>
              <w:t>Nuolatinė</w:t>
            </w:r>
            <w:r w:rsidR="00D54447" w:rsidRPr="00691695">
              <w:rPr>
                <w:rFonts w:ascii="Arial" w:eastAsia="Arial" w:hAnsi="Arial" w:cs="Arial"/>
                <w:sz w:val="22"/>
                <w:szCs w:val="22"/>
              </w:rPr>
              <w:t xml:space="preserve">, 4 </w:t>
            </w:r>
            <w:r w:rsidR="00B830B2" w:rsidRPr="00691695">
              <w:rPr>
                <w:rFonts w:ascii="Arial" w:eastAsia="Arial" w:hAnsi="Arial" w:cs="Arial"/>
                <w:sz w:val="22"/>
                <w:szCs w:val="22"/>
              </w:rPr>
              <w:t>m.</w:t>
            </w:r>
          </w:p>
        </w:tc>
        <w:tc>
          <w:tcPr>
            <w:tcW w:w="1657" w:type="pct"/>
            <w:vAlign w:val="center"/>
          </w:tcPr>
          <w:p w14:paraId="4A6CB2FF" w14:textId="0FE71BFB" w:rsidR="00D54447" w:rsidRPr="00691695" w:rsidRDefault="00A13567" w:rsidP="00D54447">
            <w:pPr>
              <w:rPr>
                <w:rFonts w:ascii="Arial" w:eastAsiaTheme="majorEastAsia" w:hAnsi="Arial" w:cs="Arial"/>
                <w:bCs/>
                <w:iCs/>
                <w:sz w:val="22"/>
                <w:szCs w:val="22"/>
              </w:rPr>
            </w:pPr>
            <w:r w:rsidRPr="00691695">
              <w:rPr>
                <w:rFonts w:ascii="Arial" w:eastAsia="Arial" w:hAnsi="Arial" w:cs="Arial"/>
                <w:sz w:val="22"/>
                <w:szCs w:val="22"/>
              </w:rPr>
              <w:t>Nuolatinė</w:t>
            </w:r>
            <w:r w:rsidR="00D54447" w:rsidRPr="00691695">
              <w:rPr>
                <w:rFonts w:ascii="Arial" w:eastAsia="Arial" w:hAnsi="Arial" w:cs="Arial"/>
                <w:sz w:val="22"/>
                <w:szCs w:val="22"/>
              </w:rPr>
              <w:t xml:space="preserve">, 4 </w:t>
            </w:r>
            <w:r w:rsidR="00B830B2" w:rsidRPr="00691695">
              <w:rPr>
                <w:rFonts w:ascii="Arial" w:eastAsia="Arial" w:hAnsi="Arial" w:cs="Arial"/>
                <w:sz w:val="22"/>
                <w:szCs w:val="22"/>
              </w:rPr>
              <w:t>m.</w:t>
            </w:r>
          </w:p>
        </w:tc>
      </w:tr>
      <w:tr w:rsidR="00D54447" w:rsidRPr="002D0027" w14:paraId="7F054D4B" w14:textId="77777777" w:rsidTr="00D54447">
        <w:trPr>
          <w:trHeight w:val="510"/>
        </w:trPr>
        <w:tc>
          <w:tcPr>
            <w:tcW w:w="1685" w:type="pct"/>
            <w:shd w:val="clear" w:color="auto" w:fill="5B0009"/>
            <w:vAlign w:val="center"/>
          </w:tcPr>
          <w:p w14:paraId="0EBF2122"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5566C77A" w14:textId="1540928E"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240</w:t>
            </w:r>
          </w:p>
        </w:tc>
        <w:tc>
          <w:tcPr>
            <w:tcW w:w="1657" w:type="pct"/>
            <w:vAlign w:val="center"/>
          </w:tcPr>
          <w:p w14:paraId="62FF8103" w14:textId="69431C10" w:rsidR="00D54447" w:rsidRPr="00691695" w:rsidRDefault="00D54447" w:rsidP="00D54447">
            <w:pPr>
              <w:rPr>
                <w:rFonts w:ascii="Arial" w:eastAsiaTheme="majorEastAsia" w:hAnsi="Arial" w:cs="Arial"/>
                <w:bCs/>
                <w:iCs/>
                <w:sz w:val="22"/>
                <w:szCs w:val="22"/>
              </w:rPr>
            </w:pPr>
            <w:r w:rsidRPr="00691695">
              <w:rPr>
                <w:rFonts w:ascii="Arial" w:eastAsia="Arial" w:hAnsi="Arial" w:cs="Arial"/>
                <w:sz w:val="22"/>
                <w:szCs w:val="22"/>
              </w:rPr>
              <w:t>240</w:t>
            </w:r>
          </w:p>
        </w:tc>
      </w:tr>
      <w:tr w:rsidR="00D54447" w:rsidRPr="002D0027" w14:paraId="014435F4" w14:textId="77777777" w:rsidTr="00D54447">
        <w:trPr>
          <w:trHeight w:val="510"/>
        </w:trPr>
        <w:tc>
          <w:tcPr>
            <w:tcW w:w="1685" w:type="pct"/>
            <w:shd w:val="clear" w:color="auto" w:fill="5B0009"/>
            <w:vAlign w:val="center"/>
          </w:tcPr>
          <w:p w14:paraId="09732418"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213C6B49" w14:textId="257E693E"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Socialinių mokslų bakalauras</w:t>
            </w:r>
          </w:p>
        </w:tc>
        <w:tc>
          <w:tcPr>
            <w:tcW w:w="1657" w:type="pct"/>
            <w:vAlign w:val="center"/>
          </w:tcPr>
          <w:p w14:paraId="25EC9CB3" w14:textId="433FAD23"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Viešojo administravimo ir socialinių mokslų bakalauras</w:t>
            </w:r>
          </w:p>
        </w:tc>
      </w:tr>
      <w:tr w:rsidR="00D54447" w:rsidRPr="002D0027" w14:paraId="74936022" w14:textId="77777777" w:rsidTr="00D54447">
        <w:trPr>
          <w:trHeight w:val="510"/>
        </w:trPr>
        <w:tc>
          <w:tcPr>
            <w:tcW w:w="1685" w:type="pct"/>
            <w:shd w:val="clear" w:color="auto" w:fill="5B0009"/>
            <w:vAlign w:val="center"/>
          </w:tcPr>
          <w:p w14:paraId="30D68A96"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318F7822" w14:textId="116791C9"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Anglų</w:t>
            </w:r>
          </w:p>
        </w:tc>
        <w:tc>
          <w:tcPr>
            <w:tcW w:w="1657" w:type="pct"/>
            <w:vAlign w:val="center"/>
          </w:tcPr>
          <w:p w14:paraId="680074F2" w14:textId="09356EF2"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Lietuvių</w:t>
            </w:r>
          </w:p>
        </w:tc>
      </w:tr>
      <w:tr w:rsidR="00D54447" w:rsidRPr="002D0027" w14:paraId="5A99C446" w14:textId="77777777" w:rsidTr="00D54447">
        <w:trPr>
          <w:trHeight w:val="510"/>
        </w:trPr>
        <w:tc>
          <w:tcPr>
            <w:tcW w:w="1685" w:type="pct"/>
            <w:shd w:val="clear" w:color="auto" w:fill="5B0009"/>
            <w:vAlign w:val="center"/>
          </w:tcPr>
          <w:p w14:paraId="54DBF661"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1587D529" w14:textId="49A3189B"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Vidurinis išsilavinimas</w:t>
            </w:r>
          </w:p>
        </w:tc>
        <w:tc>
          <w:tcPr>
            <w:tcW w:w="1657" w:type="pct"/>
            <w:vAlign w:val="center"/>
          </w:tcPr>
          <w:p w14:paraId="17094B48" w14:textId="776120E4" w:rsidR="00D54447" w:rsidRPr="00691695" w:rsidRDefault="00C47093" w:rsidP="00D54447">
            <w:pPr>
              <w:rPr>
                <w:rFonts w:ascii="Arial" w:eastAsiaTheme="majorEastAsia" w:hAnsi="Arial" w:cs="Arial"/>
                <w:bCs/>
                <w:iCs/>
                <w:sz w:val="22"/>
                <w:szCs w:val="22"/>
              </w:rPr>
            </w:pPr>
            <w:r w:rsidRPr="00691695">
              <w:rPr>
                <w:rFonts w:ascii="Arial" w:eastAsia="Arial" w:hAnsi="Arial" w:cs="Arial"/>
                <w:sz w:val="22"/>
                <w:szCs w:val="22"/>
              </w:rPr>
              <w:t>Vidurinis išsilavinimas</w:t>
            </w:r>
          </w:p>
        </w:tc>
      </w:tr>
      <w:tr w:rsidR="00D54447" w:rsidRPr="002D0027" w14:paraId="2C124C98" w14:textId="77777777" w:rsidTr="00D54447">
        <w:trPr>
          <w:trHeight w:val="510"/>
        </w:trPr>
        <w:tc>
          <w:tcPr>
            <w:tcW w:w="1685" w:type="pct"/>
            <w:shd w:val="clear" w:color="auto" w:fill="5B0009"/>
            <w:vAlign w:val="center"/>
          </w:tcPr>
          <w:p w14:paraId="580B9755"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4FB972EB" w14:textId="46CBE71C" w:rsidR="00D54447" w:rsidRPr="00691695" w:rsidRDefault="00D54447" w:rsidP="00D54447">
            <w:pPr>
              <w:rPr>
                <w:rStyle w:val="fontstyle01"/>
                <w:rFonts w:ascii="Arial" w:eastAsiaTheme="majorEastAsia" w:hAnsi="Arial" w:cs="Arial"/>
                <w:bCs/>
                <w:iCs/>
                <w:sz w:val="22"/>
                <w:szCs w:val="22"/>
              </w:rPr>
            </w:pPr>
            <w:r w:rsidRPr="00691695">
              <w:rPr>
                <w:rFonts w:ascii="Arial" w:eastAsia="Arial" w:hAnsi="Arial" w:cs="Arial"/>
                <w:sz w:val="22"/>
                <w:szCs w:val="22"/>
              </w:rPr>
              <w:t>2012-03-20</w:t>
            </w:r>
          </w:p>
        </w:tc>
        <w:tc>
          <w:tcPr>
            <w:tcW w:w="1657" w:type="pct"/>
            <w:vAlign w:val="center"/>
          </w:tcPr>
          <w:p w14:paraId="187A6F73" w14:textId="56594DF8" w:rsidR="00D54447" w:rsidRPr="00691695" w:rsidRDefault="009B0DE0" w:rsidP="00D54447">
            <w:pPr>
              <w:rPr>
                <w:rFonts w:ascii="Arial" w:eastAsiaTheme="majorEastAsia" w:hAnsi="Arial" w:cs="Arial"/>
                <w:bCs/>
                <w:iCs/>
                <w:sz w:val="22"/>
                <w:szCs w:val="22"/>
              </w:rPr>
            </w:pPr>
            <w:r w:rsidRPr="00691695">
              <w:rPr>
                <w:rFonts w:ascii="Arial" w:eastAsia="Arial" w:hAnsi="Arial" w:cs="Arial"/>
                <w:sz w:val="22"/>
                <w:szCs w:val="22"/>
              </w:rPr>
              <w:t>Kaip dviejų studijų krypčių programa registruota 2019-10-18</w:t>
            </w:r>
          </w:p>
        </w:tc>
      </w:tr>
      <w:tr w:rsidR="00D54447" w:rsidRPr="002D0027" w14:paraId="0738A5B0" w14:textId="77777777" w:rsidTr="00D54447">
        <w:trPr>
          <w:trHeight w:val="510"/>
        </w:trPr>
        <w:tc>
          <w:tcPr>
            <w:tcW w:w="1685" w:type="pct"/>
            <w:shd w:val="clear" w:color="auto" w:fill="5B0009"/>
            <w:vAlign w:val="center"/>
          </w:tcPr>
          <w:p w14:paraId="55113770" w14:textId="77777777"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1088A3D3" w14:textId="731F8370" w:rsidR="00D54447" w:rsidRPr="00691695" w:rsidRDefault="00D54447" w:rsidP="00D54447">
            <w:pPr>
              <w:rPr>
                <w:rStyle w:val="fontstyle01"/>
                <w:rFonts w:ascii="Arial" w:eastAsiaTheme="majorEastAsia" w:hAnsi="Arial" w:cs="Arial"/>
                <w:bCs/>
                <w:iCs/>
                <w:sz w:val="22"/>
                <w:szCs w:val="22"/>
              </w:rPr>
            </w:pPr>
            <w:r w:rsidRPr="00691695">
              <w:rPr>
                <w:rFonts w:ascii="Arial" w:eastAsia="Arial" w:hAnsi="Arial" w:cs="Arial"/>
                <w:sz w:val="22"/>
                <w:szCs w:val="22"/>
              </w:rPr>
              <w:t>N/A</w:t>
            </w:r>
          </w:p>
        </w:tc>
        <w:tc>
          <w:tcPr>
            <w:tcW w:w="1657" w:type="pct"/>
            <w:vAlign w:val="center"/>
          </w:tcPr>
          <w:p w14:paraId="65018AD9" w14:textId="28A30570" w:rsidR="00D54447" w:rsidRPr="00691695" w:rsidRDefault="009B0DE0" w:rsidP="00D54447">
            <w:pPr>
              <w:rPr>
                <w:rFonts w:ascii="Arial" w:eastAsiaTheme="majorEastAsia" w:hAnsi="Arial" w:cs="Arial"/>
                <w:bCs/>
                <w:iCs/>
                <w:sz w:val="22"/>
                <w:szCs w:val="22"/>
              </w:rPr>
            </w:pPr>
            <w:r w:rsidRPr="00691695">
              <w:rPr>
                <w:rFonts w:ascii="Arial" w:eastAsia="Arial" w:hAnsi="Arial" w:cs="Arial"/>
                <w:sz w:val="22"/>
                <w:szCs w:val="22"/>
              </w:rPr>
              <w:t>Dviejų studijų krypčių programa</w:t>
            </w:r>
          </w:p>
        </w:tc>
      </w:tr>
    </w:tbl>
    <w:p w14:paraId="643C6242" w14:textId="77777777" w:rsidR="00DC797A" w:rsidRDefault="00DC797A" w:rsidP="00291AB7">
      <w:pPr>
        <w:rPr>
          <w:rFonts w:ascii="Arial" w:hAnsi="Arial" w:cs="Arial"/>
          <w:iCs/>
          <w:color w:val="136C73"/>
          <w:sz w:val="22"/>
          <w:szCs w:val="22"/>
          <w:lang w:eastAsia="lt-LT"/>
        </w:rPr>
      </w:pPr>
    </w:p>
    <w:p w14:paraId="3B9E17CD" w14:textId="77777777" w:rsidR="00DC797A" w:rsidRDefault="00DC797A" w:rsidP="00291AB7">
      <w:pPr>
        <w:rPr>
          <w:rFonts w:ascii="Arial" w:hAnsi="Arial" w:cs="Arial"/>
          <w:iCs/>
          <w:color w:val="136C73"/>
          <w:sz w:val="22"/>
          <w:szCs w:val="22"/>
          <w:lang w:eastAsia="lt-LT"/>
        </w:rPr>
      </w:pPr>
    </w:p>
    <w:p w14:paraId="4B51014A" w14:textId="77777777" w:rsidR="00CE7CA1" w:rsidRPr="002D0027" w:rsidRDefault="00CE7CA1" w:rsidP="00291AB7">
      <w:pPr>
        <w:rPr>
          <w:rFonts w:ascii="Arial" w:hAnsi="Arial" w:cs="Arial"/>
          <w:iCs/>
          <w:color w:val="136C73"/>
          <w:sz w:val="22"/>
          <w:szCs w:val="22"/>
          <w:lang w:eastAsia="lt-LT"/>
        </w:rPr>
      </w:pPr>
    </w:p>
    <w:p w14:paraId="42E3C255" w14:textId="77777777" w:rsidR="00691695" w:rsidRDefault="00691695" w:rsidP="00291AB7">
      <w:pPr>
        <w:rPr>
          <w:rFonts w:ascii="Arial" w:hAnsi="Arial" w:cs="Arial"/>
          <w:b/>
          <w:bCs/>
          <w:iCs/>
          <w:color w:val="5B0009"/>
          <w:sz w:val="22"/>
          <w:szCs w:val="22"/>
          <w:lang w:eastAsia="lt-LT"/>
        </w:rPr>
      </w:pPr>
    </w:p>
    <w:p w14:paraId="28AE358D" w14:textId="77777777" w:rsidR="00691695" w:rsidRDefault="00691695" w:rsidP="00291AB7">
      <w:pPr>
        <w:rPr>
          <w:rFonts w:ascii="Arial" w:hAnsi="Arial" w:cs="Arial"/>
          <w:b/>
          <w:bCs/>
          <w:iCs/>
          <w:color w:val="5B0009"/>
          <w:sz w:val="22"/>
          <w:szCs w:val="22"/>
          <w:lang w:eastAsia="lt-LT"/>
        </w:rPr>
      </w:pPr>
    </w:p>
    <w:p w14:paraId="19B1CD93" w14:textId="77777777" w:rsidR="00691695" w:rsidRDefault="00691695" w:rsidP="00291AB7">
      <w:pPr>
        <w:rPr>
          <w:rFonts w:ascii="Arial" w:hAnsi="Arial" w:cs="Arial"/>
          <w:b/>
          <w:bCs/>
          <w:iCs/>
          <w:color w:val="5B0009"/>
          <w:sz w:val="22"/>
          <w:szCs w:val="22"/>
          <w:lang w:eastAsia="lt-LT"/>
        </w:rPr>
      </w:pPr>
    </w:p>
    <w:p w14:paraId="0477781A" w14:textId="77777777" w:rsidR="00691695" w:rsidRDefault="00691695" w:rsidP="00291AB7">
      <w:pPr>
        <w:rPr>
          <w:rFonts w:ascii="Arial" w:hAnsi="Arial" w:cs="Arial"/>
          <w:b/>
          <w:bCs/>
          <w:iCs/>
          <w:color w:val="5B0009"/>
          <w:sz w:val="22"/>
          <w:szCs w:val="22"/>
          <w:lang w:eastAsia="lt-LT"/>
        </w:rPr>
      </w:pPr>
    </w:p>
    <w:p w14:paraId="56E3AAC4" w14:textId="552841F7"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lastRenderedPageBreak/>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TableGrid"/>
        <w:tblW w:w="5000" w:type="pct"/>
        <w:tblLayout w:type="fixed"/>
        <w:tblLook w:val="04A0" w:firstRow="1" w:lastRow="0" w:firstColumn="1" w:lastColumn="0" w:noHBand="0" w:noVBand="1"/>
      </w:tblPr>
      <w:tblGrid>
        <w:gridCol w:w="2475"/>
        <w:gridCol w:w="2432"/>
        <w:gridCol w:w="2431"/>
        <w:gridCol w:w="2431"/>
      </w:tblGrid>
      <w:tr w:rsidR="00B830B2" w:rsidRPr="002D0027" w14:paraId="2914299A" w14:textId="7B823FEE" w:rsidTr="00E64C9F">
        <w:trPr>
          <w:trHeight w:val="510"/>
        </w:trPr>
        <w:tc>
          <w:tcPr>
            <w:tcW w:w="1267" w:type="pct"/>
            <w:shd w:val="clear" w:color="auto" w:fill="5B0009"/>
            <w:vAlign w:val="center"/>
          </w:tcPr>
          <w:p w14:paraId="771B0C6C" w14:textId="33744E0D"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245" w:type="pct"/>
            <w:shd w:val="clear" w:color="136C73" w:fill="FFFFFF" w:themeFill="background1"/>
            <w:vAlign w:val="center"/>
          </w:tcPr>
          <w:p w14:paraId="63B888AA" w14:textId="5B5C9E79" w:rsidR="00B830B2" w:rsidRPr="00691695" w:rsidRDefault="001F310A" w:rsidP="00B830B2">
            <w:pPr>
              <w:rPr>
                <w:rFonts w:ascii="Arial" w:eastAsiaTheme="majorEastAsia" w:hAnsi="Arial" w:cs="Arial"/>
                <w:b/>
                <w:iCs/>
                <w:sz w:val="22"/>
                <w:szCs w:val="22"/>
              </w:rPr>
            </w:pPr>
            <w:r w:rsidRPr="00691695">
              <w:rPr>
                <w:rFonts w:ascii="Arial" w:eastAsia="Arial" w:hAnsi="Arial" w:cs="Arial"/>
                <w:b/>
                <w:sz w:val="22"/>
                <w:szCs w:val="22"/>
              </w:rPr>
              <w:t>Diplomatija ir tarptautiniai santykiai</w:t>
            </w:r>
          </w:p>
        </w:tc>
        <w:tc>
          <w:tcPr>
            <w:tcW w:w="1244" w:type="pct"/>
            <w:shd w:val="clear" w:color="136C73" w:fill="FFFFFF" w:themeFill="background1"/>
            <w:vAlign w:val="center"/>
          </w:tcPr>
          <w:p w14:paraId="395FBE4C" w14:textId="0410C9CF" w:rsidR="00B830B2" w:rsidRPr="00691695" w:rsidRDefault="00BE4071" w:rsidP="00B830B2">
            <w:pPr>
              <w:rPr>
                <w:rFonts w:ascii="Arial" w:eastAsiaTheme="majorEastAsia" w:hAnsi="Arial" w:cs="Arial"/>
                <w:b/>
                <w:iCs/>
                <w:sz w:val="22"/>
                <w:szCs w:val="22"/>
              </w:rPr>
            </w:pPr>
            <w:r w:rsidRPr="00691695">
              <w:rPr>
                <w:rFonts w:ascii="Arial" w:eastAsia="Arial" w:hAnsi="Arial" w:cs="Arial"/>
                <w:b/>
                <w:sz w:val="22"/>
                <w:szCs w:val="22"/>
              </w:rPr>
              <w:t>Šiuolaikinė Europos politika</w:t>
            </w:r>
          </w:p>
        </w:tc>
        <w:tc>
          <w:tcPr>
            <w:tcW w:w="1244" w:type="pct"/>
            <w:shd w:val="clear" w:color="136C73" w:fill="FFFFFF" w:themeFill="background1"/>
            <w:vAlign w:val="center"/>
          </w:tcPr>
          <w:p w14:paraId="4EDB8353" w14:textId="7A06B9F6" w:rsidR="00B830B2" w:rsidRPr="00691695" w:rsidRDefault="00BE4071" w:rsidP="00B830B2">
            <w:pPr>
              <w:rPr>
                <w:rFonts w:ascii="Arial" w:eastAsiaTheme="majorEastAsia" w:hAnsi="Arial" w:cs="Arial"/>
                <w:b/>
                <w:iCs/>
                <w:sz w:val="22"/>
                <w:szCs w:val="22"/>
              </w:rPr>
            </w:pPr>
            <w:r w:rsidRPr="00691695">
              <w:rPr>
                <w:rFonts w:ascii="Arial" w:eastAsia="Arial" w:hAnsi="Arial" w:cs="Arial"/>
                <w:b/>
                <w:sz w:val="22"/>
                <w:szCs w:val="22"/>
              </w:rPr>
              <w:t>Rytų Europos studijos ir tyrimai (MIREES)</w:t>
            </w:r>
          </w:p>
        </w:tc>
      </w:tr>
      <w:tr w:rsidR="00B830B2" w:rsidRPr="002D0027" w14:paraId="52206648" w14:textId="4964FDD4" w:rsidTr="00233F62">
        <w:trPr>
          <w:trHeight w:val="510"/>
        </w:trPr>
        <w:tc>
          <w:tcPr>
            <w:tcW w:w="1267" w:type="pct"/>
            <w:shd w:val="clear" w:color="auto" w:fill="5B0009"/>
            <w:vAlign w:val="center"/>
          </w:tcPr>
          <w:p w14:paraId="058CB112" w14:textId="0763208E"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245" w:type="pct"/>
            <w:vAlign w:val="center"/>
          </w:tcPr>
          <w:p w14:paraId="0171B4E4" w14:textId="17039A71" w:rsidR="00B830B2" w:rsidRPr="00691695" w:rsidRDefault="00B830B2" w:rsidP="00B830B2">
            <w:pPr>
              <w:rPr>
                <w:rStyle w:val="fontstyle01"/>
                <w:rFonts w:ascii="Arial" w:eastAsiaTheme="majorEastAsia" w:hAnsi="Arial" w:cs="Arial"/>
                <w:bCs/>
                <w:iCs/>
                <w:sz w:val="22"/>
                <w:szCs w:val="22"/>
              </w:rPr>
            </w:pPr>
            <w:r w:rsidRPr="00691695">
              <w:rPr>
                <w:rFonts w:ascii="Arial" w:eastAsia="Arial" w:hAnsi="Arial" w:cs="Arial"/>
                <w:sz w:val="22"/>
                <w:szCs w:val="22"/>
              </w:rPr>
              <w:t>6211JX049</w:t>
            </w:r>
          </w:p>
        </w:tc>
        <w:tc>
          <w:tcPr>
            <w:tcW w:w="1244" w:type="pct"/>
            <w:vAlign w:val="center"/>
          </w:tcPr>
          <w:p w14:paraId="02354EE5" w14:textId="7E0ED2D6"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6211JX055</w:t>
            </w:r>
          </w:p>
        </w:tc>
        <w:tc>
          <w:tcPr>
            <w:tcW w:w="1244" w:type="pct"/>
            <w:vAlign w:val="center"/>
          </w:tcPr>
          <w:p w14:paraId="426A93C5" w14:textId="44C30776"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6281JX001</w:t>
            </w:r>
          </w:p>
        </w:tc>
      </w:tr>
      <w:tr w:rsidR="00B830B2" w:rsidRPr="002D0027" w14:paraId="1A6FD723" w14:textId="264BCB1F" w:rsidTr="00233F62">
        <w:trPr>
          <w:trHeight w:val="510"/>
        </w:trPr>
        <w:tc>
          <w:tcPr>
            <w:tcW w:w="1267" w:type="pct"/>
            <w:shd w:val="clear" w:color="auto" w:fill="5B0009"/>
            <w:vAlign w:val="center"/>
          </w:tcPr>
          <w:p w14:paraId="4000BB3F" w14:textId="398CC651"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245" w:type="pct"/>
            <w:vAlign w:val="center"/>
          </w:tcPr>
          <w:p w14:paraId="771C3E5E" w14:textId="027A4081"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Universitinė</w:t>
            </w:r>
          </w:p>
        </w:tc>
        <w:tc>
          <w:tcPr>
            <w:tcW w:w="1244" w:type="pct"/>
            <w:vAlign w:val="center"/>
          </w:tcPr>
          <w:p w14:paraId="11919E3A" w14:textId="2AEF5A5C"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Universitinė</w:t>
            </w:r>
          </w:p>
        </w:tc>
        <w:tc>
          <w:tcPr>
            <w:tcW w:w="1244" w:type="pct"/>
            <w:vAlign w:val="center"/>
          </w:tcPr>
          <w:p w14:paraId="44BC1929" w14:textId="7498B396"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Universitinė</w:t>
            </w:r>
          </w:p>
        </w:tc>
      </w:tr>
      <w:tr w:rsidR="00B830B2" w:rsidRPr="002D0027" w14:paraId="412454FC" w14:textId="4BD64E25" w:rsidTr="00233F62">
        <w:trPr>
          <w:trHeight w:val="510"/>
        </w:trPr>
        <w:tc>
          <w:tcPr>
            <w:tcW w:w="1267" w:type="pct"/>
            <w:shd w:val="clear" w:color="auto" w:fill="5B0009"/>
            <w:vAlign w:val="center"/>
          </w:tcPr>
          <w:p w14:paraId="4F9D18CE" w14:textId="21ABDAA8"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245" w:type="pct"/>
            <w:vAlign w:val="center"/>
          </w:tcPr>
          <w:p w14:paraId="58CD6E6D" w14:textId="753C0C7A"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Nuolatinė, 2 years</w:t>
            </w:r>
          </w:p>
        </w:tc>
        <w:tc>
          <w:tcPr>
            <w:tcW w:w="1244" w:type="pct"/>
            <w:vAlign w:val="center"/>
          </w:tcPr>
          <w:p w14:paraId="5C123266" w14:textId="6B07EA46"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Nuolatinė, 1,5 years</w:t>
            </w:r>
          </w:p>
        </w:tc>
        <w:tc>
          <w:tcPr>
            <w:tcW w:w="1244" w:type="pct"/>
            <w:vAlign w:val="center"/>
          </w:tcPr>
          <w:p w14:paraId="7780B702" w14:textId="65B8A115"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Nuolatinė, 2 years</w:t>
            </w:r>
          </w:p>
        </w:tc>
      </w:tr>
      <w:tr w:rsidR="00B830B2" w:rsidRPr="002D0027" w14:paraId="3CE21482" w14:textId="3E5E2852" w:rsidTr="00233F62">
        <w:trPr>
          <w:trHeight w:val="510"/>
        </w:trPr>
        <w:tc>
          <w:tcPr>
            <w:tcW w:w="1267" w:type="pct"/>
            <w:shd w:val="clear" w:color="auto" w:fill="5B0009"/>
            <w:vAlign w:val="center"/>
          </w:tcPr>
          <w:p w14:paraId="29DD30E6" w14:textId="783E9330"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245" w:type="pct"/>
            <w:vAlign w:val="center"/>
          </w:tcPr>
          <w:p w14:paraId="25A9A9DE" w14:textId="33E93B7E"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120</w:t>
            </w:r>
          </w:p>
        </w:tc>
        <w:tc>
          <w:tcPr>
            <w:tcW w:w="1244" w:type="pct"/>
            <w:vAlign w:val="center"/>
          </w:tcPr>
          <w:p w14:paraId="78E679F8" w14:textId="1F0269EA"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90</w:t>
            </w:r>
          </w:p>
        </w:tc>
        <w:tc>
          <w:tcPr>
            <w:tcW w:w="1244" w:type="pct"/>
            <w:vAlign w:val="center"/>
          </w:tcPr>
          <w:p w14:paraId="3D3DA256" w14:textId="0B1D5EA9"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120</w:t>
            </w:r>
          </w:p>
        </w:tc>
      </w:tr>
      <w:tr w:rsidR="00B830B2" w:rsidRPr="002D0027" w14:paraId="47DA9AD0" w14:textId="1F33849B" w:rsidTr="00233F62">
        <w:trPr>
          <w:trHeight w:val="510"/>
        </w:trPr>
        <w:tc>
          <w:tcPr>
            <w:tcW w:w="1267" w:type="pct"/>
            <w:shd w:val="clear" w:color="auto" w:fill="5B0009"/>
            <w:vAlign w:val="center"/>
          </w:tcPr>
          <w:p w14:paraId="48398AFB" w14:textId="17006188"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245" w:type="pct"/>
            <w:vAlign w:val="center"/>
          </w:tcPr>
          <w:p w14:paraId="62958B29" w14:textId="49D96F50" w:rsidR="00B830B2" w:rsidRPr="00691695" w:rsidRDefault="00583954" w:rsidP="00B830B2">
            <w:pPr>
              <w:rPr>
                <w:rFonts w:ascii="Arial" w:eastAsiaTheme="majorEastAsia" w:hAnsi="Arial" w:cs="Arial"/>
                <w:bCs/>
                <w:iCs/>
                <w:sz w:val="22"/>
                <w:szCs w:val="22"/>
              </w:rPr>
            </w:pPr>
            <w:r w:rsidRPr="00691695">
              <w:rPr>
                <w:rFonts w:ascii="Arial" w:eastAsia="Arial" w:hAnsi="Arial" w:cs="Arial"/>
                <w:sz w:val="22"/>
                <w:szCs w:val="22"/>
              </w:rPr>
              <w:t xml:space="preserve">Socialinių mokslų </w:t>
            </w:r>
            <w:r w:rsidR="00CE7CA1" w:rsidRPr="00691695">
              <w:rPr>
                <w:rFonts w:ascii="Arial" w:eastAsia="Arial" w:hAnsi="Arial" w:cs="Arial"/>
                <w:sz w:val="22"/>
                <w:szCs w:val="22"/>
              </w:rPr>
              <w:t>magistras</w:t>
            </w:r>
          </w:p>
        </w:tc>
        <w:tc>
          <w:tcPr>
            <w:tcW w:w="1244" w:type="pct"/>
            <w:vAlign w:val="center"/>
          </w:tcPr>
          <w:p w14:paraId="1E0884C7" w14:textId="08F3B770"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Socialinių mokslų magistras</w:t>
            </w:r>
          </w:p>
        </w:tc>
        <w:tc>
          <w:tcPr>
            <w:tcW w:w="1244" w:type="pct"/>
            <w:vAlign w:val="center"/>
          </w:tcPr>
          <w:p w14:paraId="1672EDDA" w14:textId="56D45354"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Socialinių mokslų magistras</w:t>
            </w:r>
          </w:p>
        </w:tc>
      </w:tr>
      <w:tr w:rsidR="00B830B2" w:rsidRPr="002D0027" w14:paraId="2EE2FD42" w14:textId="1E7A1D2C" w:rsidTr="00233F62">
        <w:trPr>
          <w:trHeight w:val="510"/>
        </w:trPr>
        <w:tc>
          <w:tcPr>
            <w:tcW w:w="1267" w:type="pct"/>
            <w:shd w:val="clear" w:color="auto" w:fill="5B0009"/>
            <w:vAlign w:val="center"/>
          </w:tcPr>
          <w:p w14:paraId="2871F335" w14:textId="5C23B35A"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245" w:type="pct"/>
            <w:vAlign w:val="center"/>
          </w:tcPr>
          <w:p w14:paraId="368C0355" w14:textId="58AE9317"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Anglų</w:t>
            </w:r>
          </w:p>
        </w:tc>
        <w:tc>
          <w:tcPr>
            <w:tcW w:w="1244" w:type="pct"/>
            <w:vAlign w:val="center"/>
          </w:tcPr>
          <w:p w14:paraId="3468ADDE" w14:textId="1B93A3A5"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Lietuvių</w:t>
            </w:r>
          </w:p>
        </w:tc>
        <w:tc>
          <w:tcPr>
            <w:tcW w:w="1244" w:type="pct"/>
            <w:vAlign w:val="center"/>
          </w:tcPr>
          <w:p w14:paraId="4DBDF535" w14:textId="78B7AF34"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Anglų</w:t>
            </w:r>
          </w:p>
        </w:tc>
      </w:tr>
      <w:tr w:rsidR="00B830B2" w:rsidRPr="002D0027" w14:paraId="1DB46E3D" w14:textId="2DD676F3" w:rsidTr="00CE7CA1">
        <w:trPr>
          <w:trHeight w:val="634"/>
        </w:trPr>
        <w:tc>
          <w:tcPr>
            <w:tcW w:w="1267" w:type="pct"/>
            <w:shd w:val="clear" w:color="auto" w:fill="5B0009"/>
            <w:vAlign w:val="center"/>
          </w:tcPr>
          <w:p w14:paraId="551A9E1F" w14:textId="65E65275"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245" w:type="pct"/>
            <w:vAlign w:val="center"/>
          </w:tcPr>
          <w:p w14:paraId="79310099" w14:textId="588535C2"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Bakalauro kvalifikacinis laipsnis</w:t>
            </w:r>
          </w:p>
        </w:tc>
        <w:tc>
          <w:tcPr>
            <w:tcW w:w="1244" w:type="pct"/>
            <w:vAlign w:val="center"/>
          </w:tcPr>
          <w:p w14:paraId="67F0D8A7" w14:textId="7E3C22F4"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Bakalauro kvalifikacinis laipsnis</w:t>
            </w:r>
          </w:p>
        </w:tc>
        <w:tc>
          <w:tcPr>
            <w:tcW w:w="1244" w:type="pct"/>
            <w:vAlign w:val="center"/>
          </w:tcPr>
          <w:p w14:paraId="179E0F89" w14:textId="3701DC40" w:rsidR="00B830B2" w:rsidRPr="00691695" w:rsidRDefault="00CE7CA1" w:rsidP="00B830B2">
            <w:pPr>
              <w:rPr>
                <w:rFonts w:ascii="Arial" w:eastAsiaTheme="majorEastAsia" w:hAnsi="Arial" w:cs="Arial"/>
                <w:bCs/>
                <w:iCs/>
                <w:sz w:val="22"/>
                <w:szCs w:val="22"/>
              </w:rPr>
            </w:pPr>
            <w:r w:rsidRPr="00691695">
              <w:rPr>
                <w:rFonts w:ascii="Arial" w:eastAsia="Arial" w:hAnsi="Arial" w:cs="Arial"/>
                <w:sz w:val="22"/>
                <w:szCs w:val="22"/>
              </w:rPr>
              <w:t>Bakalauro kvalifikacinis laipsnis</w:t>
            </w:r>
          </w:p>
        </w:tc>
      </w:tr>
      <w:tr w:rsidR="00B830B2" w:rsidRPr="002D0027" w14:paraId="73A0D7D6" w14:textId="2BB7A3E7" w:rsidTr="00233F62">
        <w:trPr>
          <w:trHeight w:val="510"/>
        </w:trPr>
        <w:tc>
          <w:tcPr>
            <w:tcW w:w="1267" w:type="pct"/>
            <w:shd w:val="clear" w:color="auto" w:fill="5B0009"/>
            <w:vAlign w:val="center"/>
          </w:tcPr>
          <w:p w14:paraId="2DF5DF65" w14:textId="26B8A471" w:rsidR="00B830B2" w:rsidRPr="002D0027" w:rsidRDefault="00B830B2" w:rsidP="00B830B2">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245" w:type="pct"/>
            <w:vAlign w:val="center"/>
          </w:tcPr>
          <w:p w14:paraId="4C87F93C" w14:textId="3973A991" w:rsidR="00B830B2" w:rsidRPr="00691695" w:rsidRDefault="00B830B2" w:rsidP="00B830B2">
            <w:pPr>
              <w:rPr>
                <w:rStyle w:val="fontstyle01"/>
                <w:rFonts w:ascii="Arial" w:eastAsiaTheme="majorEastAsia" w:hAnsi="Arial" w:cs="Arial"/>
                <w:bCs/>
                <w:iCs/>
                <w:sz w:val="22"/>
                <w:szCs w:val="22"/>
              </w:rPr>
            </w:pPr>
            <w:r w:rsidRPr="00691695">
              <w:rPr>
                <w:rFonts w:ascii="Arial" w:eastAsia="Arial" w:hAnsi="Arial" w:cs="Arial"/>
                <w:sz w:val="22"/>
                <w:szCs w:val="22"/>
              </w:rPr>
              <w:t>2001-08-02</w:t>
            </w:r>
          </w:p>
        </w:tc>
        <w:tc>
          <w:tcPr>
            <w:tcW w:w="1244" w:type="pct"/>
            <w:vAlign w:val="center"/>
          </w:tcPr>
          <w:p w14:paraId="177160F2" w14:textId="300365B4"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2009-08-17</w:t>
            </w:r>
          </w:p>
        </w:tc>
        <w:tc>
          <w:tcPr>
            <w:tcW w:w="1244" w:type="pct"/>
            <w:vAlign w:val="center"/>
          </w:tcPr>
          <w:p w14:paraId="3F1797AE" w14:textId="704F34D7" w:rsidR="00B830B2" w:rsidRPr="00691695" w:rsidRDefault="00B830B2" w:rsidP="00B830B2">
            <w:pPr>
              <w:rPr>
                <w:rFonts w:ascii="Arial" w:eastAsiaTheme="majorEastAsia" w:hAnsi="Arial" w:cs="Arial"/>
                <w:bCs/>
                <w:iCs/>
                <w:sz w:val="22"/>
                <w:szCs w:val="22"/>
              </w:rPr>
            </w:pPr>
            <w:r w:rsidRPr="00691695">
              <w:rPr>
                <w:rFonts w:ascii="Arial" w:eastAsia="Arial" w:hAnsi="Arial" w:cs="Arial"/>
                <w:sz w:val="22"/>
                <w:szCs w:val="22"/>
              </w:rPr>
              <w:t>2</w:t>
            </w:r>
            <w:r w:rsidR="00583954" w:rsidRPr="00691695">
              <w:rPr>
                <w:rFonts w:ascii="Arial" w:eastAsia="Arial" w:hAnsi="Arial" w:cs="Arial"/>
                <w:sz w:val="22"/>
                <w:szCs w:val="22"/>
              </w:rPr>
              <w:t>010-06-21, jungtinė studijų programa</w:t>
            </w:r>
          </w:p>
        </w:tc>
      </w:tr>
      <w:tr w:rsidR="00D54447" w:rsidRPr="002D0027" w14:paraId="63954F6C" w14:textId="3C40B6F0" w:rsidTr="00233F62">
        <w:trPr>
          <w:trHeight w:val="510"/>
        </w:trPr>
        <w:tc>
          <w:tcPr>
            <w:tcW w:w="1267" w:type="pct"/>
            <w:shd w:val="clear" w:color="auto" w:fill="5B0009"/>
            <w:vAlign w:val="center"/>
          </w:tcPr>
          <w:p w14:paraId="7C852838" w14:textId="357EDF5A" w:rsidR="00D54447" w:rsidRPr="002D0027" w:rsidRDefault="00D54447" w:rsidP="00D5444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245" w:type="pct"/>
            <w:vAlign w:val="center"/>
          </w:tcPr>
          <w:p w14:paraId="1B64F9BC" w14:textId="05C85AC2" w:rsidR="00D54447" w:rsidRPr="00691695" w:rsidRDefault="00CE7CA1" w:rsidP="00D54447">
            <w:pPr>
              <w:rPr>
                <w:rStyle w:val="fontstyle01"/>
                <w:rFonts w:ascii="Arial" w:eastAsiaTheme="majorEastAsia" w:hAnsi="Arial" w:cs="Arial"/>
                <w:bCs/>
                <w:iCs/>
                <w:sz w:val="22"/>
                <w:szCs w:val="22"/>
              </w:rPr>
            </w:pPr>
            <w:r w:rsidRPr="00691695">
              <w:rPr>
                <w:rStyle w:val="fontstyle01"/>
                <w:rFonts w:ascii="Arial" w:eastAsiaTheme="majorEastAsia" w:hAnsi="Arial" w:cs="Arial"/>
                <w:bCs/>
                <w:iCs/>
                <w:sz w:val="22"/>
                <w:szCs w:val="22"/>
              </w:rPr>
              <w:t>N/A</w:t>
            </w:r>
          </w:p>
        </w:tc>
        <w:tc>
          <w:tcPr>
            <w:tcW w:w="1244" w:type="pct"/>
            <w:vAlign w:val="center"/>
          </w:tcPr>
          <w:p w14:paraId="0BCD71D9" w14:textId="27667B5D" w:rsidR="00D54447" w:rsidRPr="00691695" w:rsidRDefault="00CE7CA1" w:rsidP="00D54447">
            <w:pPr>
              <w:rPr>
                <w:rFonts w:ascii="Arial" w:eastAsiaTheme="majorEastAsia" w:hAnsi="Arial" w:cs="Arial"/>
                <w:bCs/>
                <w:iCs/>
                <w:sz w:val="22"/>
                <w:szCs w:val="22"/>
              </w:rPr>
            </w:pPr>
            <w:r w:rsidRPr="00691695">
              <w:rPr>
                <w:rFonts w:ascii="Arial" w:eastAsiaTheme="majorEastAsia" w:hAnsi="Arial" w:cs="Arial"/>
                <w:bCs/>
                <w:iCs/>
                <w:sz w:val="22"/>
                <w:szCs w:val="22"/>
              </w:rPr>
              <w:t>N/A</w:t>
            </w:r>
          </w:p>
        </w:tc>
        <w:tc>
          <w:tcPr>
            <w:tcW w:w="1244" w:type="pct"/>
            <w:vAlign w:val="center"/>
          </w:tcPr>
          <w:p w14:paraId="19B6EB6F" w14:textId="6B5A9411" w:rsidR="00D54447" w:rsidRPr="00691695" w:rsidRDefault="00CE7CA1" w:rsidP="00D54447">
            <w:pPr>
              <w:rPr>
                <w:rFonts w:ascii="Arial" w:eastAsiaTheme="majorEastAsia" w:hAnsi="Arial" w:cs="Arial"/>
                <w:bCs/>
                <w:iCs/>
                <w:sz w:val="22"/>
                <w:szCs w:val="22"/>
              </w:rPr>
            </w:pPr>
            <w:r w:rsidRPr="00691695">
              <w:rPr>
                <w:rFonts w:ascii="Arial" w:eastAsiaTheme="majorEastAsia" w:hAnsi="Arial" w:cs="Arial"/>
                <w:bCs/>
                <w:iCs/>
                <w:sz w:val="22"/>
                <w:szCs w:val="22"/>
              </w:rPr>
              <w:t>Jungtinė studijų programa</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4DCCB213"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DB19F0">
        <w:rPr>
          <w:rFonts w:ascii="Arial" w:hAnsi="Arial" w:cs="Arial"/>
        </w:rPr>
        <w:t xml:space="preserve">politikos mokslų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652FB870"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72C39A38"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55004802"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06D763B3"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10187DE2"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16A1EEE4"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5</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5D56659C"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4895E0DC"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24</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602ACE0D"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DB19F0">
        <w:rPr>
          <w:rFonts w:ascii="Arial" w:hAnsi="Arial" w:cs="Arial"/>
        </w:rPr>
        <w:t xml:space="preserve">politikos mokslų </w:t>
      </w:r>
      <w:r w:rsidR="00DB19F0" w:rsidRPr="002D0027">
        <w:rPr>
          <w:rFonts w:ascii="Arial" w:hAnsi="Arial" w:cs="Arial"/>
        </w:rPr>
        <w:t xml:space="preserve">krypties studijos vertinamos </w:t>
      </w:r>
      <w:r w:rsidR="00DB19F0" w:rsidRPr="00D8335B">
        <w:rPr>
          <w:rFonts w:ascii="Arial" w:hAnsi="Arial" w:cs="Arial"/>
          <w:b/>
          <w:bCs/>
          <w:color w:val="5B0009"/>
        </w:rPr>
        <w:t>teigiamai</w:t>
      </w:r>
      <w:r w:rsidR="00DB19F0">
        <w:rPr>
          <w:rFonts w:ascii="Arial" w:hAnsi="Arial" w:cs="Arial"/>
          <w:b/>
          <w:bCs/>
          <w:color w:val="5B0009"/>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2D0027" w:rsidRDefault="00291AB7" w:rsidP="00F50679">
            <w:pPr>
              <w:jc w:val="center"/>
              <w:rPr>
                <w:rFonts w:ascii="Arial" w:eastAsia="Calibri" w:hAnsi="Arial" w:cs="Arial"/>
                <w:b/>
                <w:iCs/>
                <w:color w:val="136C73"/>
                <w:lang w:eastAsia="lt-LT"/>
              </w:rPr>
            </w:pPr>
            <w:r w:rsidRPr="002D0027">
              <w:rPr>
                <w:rFonts w:ascii="Arial" w:eastAsia="Calibri" w:hAnsi="Arial" w:cs="Arial"/>
                <w:b/>
                <w:iCs/>
                <w:color w:val="136C73"/>
                <w:lang w:eastAsia="lt-LT"/>
              </w:rPr>
              <w:t>N</w:t>
            </w:r>
            <w:r w:rsidR="008D61B1" w:rsidRPr="002D0027">
              <w:rPr>
                <w:rFonts w:ascii="Arial" w:eastAsia="Calibri" w:hAnsi="Arial" w:cs="Arial"/>
                <w:b/>
                <w:iCs/>
                <w:color w:val="136C73"/>
                <w:lang w:eastAsia="lt-LT"/>
              </w:rPr>
              <w:t>r</w:t>
            </w:r>
            <w:r w:rsidRPr="002D0027">
              <w:rPr>
                <w:rFonts w:ascii="Arial" w:eastAsia="Calibri" w:hAnsi="Arial" w:cs="Arial"/>
                <w:b/>
                <w:iCs/>
                <w:color w:val="136C73"/>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38E02FF7"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0B9CDA9E"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1B7BA89B"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7200078A"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062E330C"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3568F4DA"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5</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16863075"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01685D1F" w:rsidR="00291AB7" w:rsidRPr="002D0027" w:rsidRDefault="00DB19F0" w:rsidP="00F50679">
            <w:pPr>
              <w:jc w:val="center"/>
              <w:rPr>
                <w:rFonts w:ascii="Arial" w:eastAsia="Calibri" w:hAnsi="Arial" w:cs="Arial"/>
                <w:iCs/>
                <w:lang w:eastAsia="lt-LT"/>
              </w:rPr>
            </w:pPr>
            <w:r>
              <w:rPr>
                <w:rFonts w:ascii="Arial" w:eastAsia="Calibri" w:hAnsi="Arial" w:cs="Arial"/>
                <w:iCs/>
                <w:lang w:eastAsia="lt-LT"/>
              </w:rPr>
              <w:t>25</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291AB7" w:rsidRPr="002D0027" w14:paraId="5F7BC16C" w14:textId="77777777" w:rsidTr="00691695">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691695">
        <w:tc>
          <w:tcPr>
            <w:tcW w:w="1720"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1BC914DA" w:rsidR="00291AB7" w:rsidRPr="002D0027" w:rsidRDefault="00DB19F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360"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691695">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70CDFBC9" w14:textId="0C31B795" w:rsidR="00291AB7" w:rsidRPr="002D0027" w:rsidRDefault="00DB19F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360"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691695" w:rsidRDefault="00A838F5" w:rsidP="00691695">
      <w:pPr>
        <w:spacing w:line="276" w:lineRule="auto"/>
        <w:ind w:right="140"/>
        <w:jc w:val="both"/>
        <w:rPr>
          <w:rFonts w:ascii="Arial" w:hAnsi="Arial" w:cs="Arial"/>
          <w:b/>
          <w:bCs/>
          <w:iCs/>
          <w:color w:val="5B0009"/>
          <w:sz w:val="22"/>
          <w:szCs w:val="22"/>
          <w:lang w:eastAsia="lt-LT"/>
        </w:rPr>
      </w:pPr>
      <w:bookmarkStart w:id="2" w:name="_Hlk173917551"/>
      <w:r w:rsidRPr="00691695">
        <w:rPr>
          <w:rFonts w:ascii="Arial" w:hAnsi="Arial" w:cs="Arial"/>
          <w:b/>
          <w:bCs/>
          <w:iCs/>
          <w:color w:val="5B0009"/>
          <w:sz w:val="22"/>
          <w:szCs w:val="22"/>
          <w:lang w:eastAsia="lt-LT"/>
        </w:rPr>
        <w:t>PAG</w:t>
      </w:r>
      <w:r w:rsidR="002B65A0" w:rsidRPr="00691695">
        <w:rPr>
          <w:rFonts w:ascii="Arial" w:hAnsi="Arial" w:cs="Arial"/>
          <w:b/>
          <w:bCs/>
          <w:iCs/>
          <w:color w:val="5B0009"/>
          <w:sz w:val="22"/>
          <w:szCs w:val="22"/>
          <w:lang w:eastAsia="lt-LT"/>
        </w:rPr>
        <w:t>IRTINI ASPEKTAI</w:t>
      </w:r>
    </w:p>
    <w:bookmarkEnd w:id="2"/>
    <w:p w14:paraId="350641A6" w14:textId="77777777" w:rsidR="00291AB7" w:rsidRPr="00691695" w:rsidRDefault="00291AB7" w:rsidP="00691695">
      <w:pPr>
        <w:spacing w:line="276" w:lineRule="auto"/>
        <w:ind w:right="140"/>
        <w:jc w:val="both"/>
        <w:rPr>
          <w:rFonts w:ascii="Arial" w:hAnsi="Arial" w:cs="Arial"/>
          <w:b/>
          <w:bCs/>
          <w:color w:val="136C73"/>
          <w:sz w:val="22"/>
          <w:szCs w:val="22"/>
          <w:lang w:eastAsia="lt-LT"/>
        </w:rPr>
      </w:pPr>
    </w:p>
    <w:p w14:paraId="353BCF26" w14:textId="77777777" w:rsidR="00196B5F" w:rsidRPr="00691695" w:rsidRDefault="00196B5F" w:rsidP="00691695">
      <w:pPr>
        <w:numPr>
          <w:ilvl w:val="0"/>
          <w:numId w:val="22"/>
        </w:numPr>
        <w:spacing w:line="276" w:lineRule="auto"/>
        <w:ind w:right="140"/>
        <w:jc w:val="both"/>
        <w:rPr>
          <w:rFonts w:ascii="Arial" w:eastAsia="Arial" w:hAnsi="Arial" w:cs="Arial"/>
          <w:sz w:val="22"/>
          <w:szCs w:val="22"/>
        </w:rPr>
      </w:pPr>
      <w:r w:rsidRPr="00691695">
        <w:rPr>
          <w:rFonts w:ascii="Arial" w:eastAsia="Arial" w:hAnsi="Arial" w:cs="Arial"/>
          <w:sz w:val="22"/>
          <w:szCs w:val="22"/>
        </w:rPr>
        <w:t>Laisvųjų menų etosas suteikia studentams lankstumo ir pasirinkimo galimybių.</w:t>
      </w:r>
    </w:p>
    <w:p w14:paraId="5286B880" w14:textId="77777777" w:rsidR="00196B5F" w:rsidRPr="00691695" w:rsidRDefault="00196B5F" w:rsidP="00691695">
      <w:pPr>
        <w:numPr>
          <w:ilvl w:val="0"/>
          <w:numId w:val="22"/>
        </w:numPr>
        <w:spacing w:line="276" w:lineRule="auto"/>
        <w:ind w:right="140"/>
        <w:jc w:val="both"/>
        <w:rPr>
          <w:rFonts w:ascii="Arial" w:eastAsia="Arial" w:hAnsi="Arial" w:cs="Arial"/>
          <w:sz w:val="22"/>
          <w:szCs w:val="22"/>
        </w:rPr>
      </w:pPr>
      <w:r w:rsidRPr="00691695">
        <w:rPr>
          <w:rFonts w:ascii="Arial" w:eastAsia="Arial" w:hAnsi="Arial" w:cs="Arial"/>
          <w:sz w:val="22"/>
          <w:szCs w:val="22"/>
        </w:rPr>
        <w:t>Galimybės atlikti praktiką ir socialinių partnerių dalyvavimas.</w:t>
      </w:r>
    </w:p>
    <w:p w14:paraId="63CC17F5" w14:textId="1399F861" w:rsidR="00291AB7" w:rsidRPr="00691695" w:rsidRDefault="00196B5F" w:rsidP="00691695">
      <w:pPr>
        <w:numPr>
          <w:ilvl w:val="0"/>
          <w:numId w:val="22"/>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 xml:space="preserve">Studijų 360 integravimas į </w:t>
      </w:r>
      <w:r w:rsidR="00BD0902" w:rsidRPr="00691695">
        <w:rPr>
          <w:rFonts w:ascii="Arial" w:eastAsia="Arial" w:hAnsi="Arial" w:cs="Arial"/>
          <w:sz w:val="22"/>
          <w:szCs w:val="22"/>
        </w:rPr>
        <w:t>studijų planą</w:t>
      </w:r>
      <w:r w:rsidRPr="00691695">
        <w:rPr>
          <w:rFonts w:ascii="Arial" w:eastAsia="Arial" w:hAnsi="Arial" w:cs="Arial"/>
          <w:sz w:val="22"/>
          <w:szCs w:val="22"/>
        </w:rPr>
        <w:t xml:space="preserve"> rodo aiškią kryptį - rengti globaliai informuotus ateities piliečius.</w:t>
      </w:r>
    </w:p>
    <w:p w14:paraId="27C00BEA" w14:textId="26354CB6" w:rsidR="00291AB7"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0D95D7CB" w14:textId="77777777" w:rsidR="00291AB7" w:rsidRPr="00691695" w:rsidRDefault="00291AB7"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13CBAD9B" w14:textId="76E6DCC6" w:rsidR="00291AB7"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0826CC5F"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2C49C4DF" w14:textId="77777777" w:rsidR="00DB02D2" w:rsidRPr="00691695" w:rsidRDefault="00DB02D2" w:rsidP="00691695">
      <w:pPr>
        <w:numPr>
          <w:ilvl w:val="0"/>
          <w:numId w:val="23"/>
        </w:numPr>
        <w:spacing w:line="276" w:lineRule="auto"/>
        <w:ind w:right="140"/>
        <w:jc w:val="both"/>
        <w:rPr>
          <w:rFonts w:ascii="Arial" w:eastAsia="Arial" w:hAnsi="Arial" w:cs="Arial"/>
          <w:sz w:val="22"/>
          <w:szCs w:val="22"/>
        </w:rPr>
      </w:pPr>
      <w:r w:rsidRPr="00691695">
        <w:rPr>
          <w:rFonts w:ascii="Arial" w:eastAsia="Arial" w:hAnsi="Arial" w:cs="Arial"/>
          <w:sz w:val="22"/>
          <w:szCs w:val="22"/>
        </w:rPr>
        <w:t>Užtikrinti, kad naujoji pirmosios pakopos politikos studijų programa neprarastų ankstesnių programų išskirtinių elementų.</w:t>
      </w:r>
    </w:p>
    <w:p w14:paraId="6B19D272" w14:textId="21964904" w:rsidR="00291AB7" w:rsidRPr="00691695" w:rsidRDefault="00DB02D2" w:rsidP="00691695">
      <w:pPr>
        <w:numPr>
          <w:ilvl w:val="0"/>
          <w:numId w:val="23"/>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 xml:space="preserve">Išnagrinėti naujoviškus būdus, kaip tarptautinti </w:t>
      </w:r>
      <w:r w:rsidR="00BD0902" w:rsidRPr="00691695">
        <w:rPr>
          <w:rFonts w:ascii="Arial" w:eastAsia="Arial" w:hAnsi="Arial" w:cs="Arial"/>
          <w:sz w:val="22"/>
          <w:szCs w:val="22"/>
        </w:rPr>
        <w:t>studijų planą</w:t>
      </w:r>
      <w:r w:rsidRPr="00691695">
        <w:rPr>
          <w:rFonts w:ascii="Arial" w:eastAsia="Arial" w:hAnsi="Arial" w:cs="Arial"/>
          <w:sz w:val="22"/>
          <w:szCs w:val="22"/>
        </w:rPr>
        <w:t xml:space="preserve">, ypač antrajame lygmenyje. </w:t>
      </w:r>
    </w:p>
    <w:p w14:paraId="3D804AFD" w14:textId="490E886C" w:rsidR="007E04D8" w:rsidRPr="00691695" w:rsidRDefault="002B65A0"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w:t>
      </w:r>
      <w:r w:rsidR="007E04D8" w:rsidRPr="00691695">
        <w:rPr>
          <w:rFonts w:ascii="Arial" w:eastAsia="Calibri" w:hAnsi="Arial" w:cs="Arial"/>
          <w:iCs/>
          <w:color w:val="5B0009"/>
          <w:sz w:val="22"/>
          <w:szCs w:val="22"/>
          <w:lang w:eastAsia="lt-LT"/>
        </w:rPr>
        <w:t xml:space="preserve"> tobulėjimui</w:t>
      </w:r>
    </w:p>
    <w:p w14:paraId="3E61AD95"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bookmarkEnd w:id="1"/>
    <w:p w14:paraId="7B3C6CA9" w14:textId="77777777" w:rsidR="00D83357" w:rsidRPr="00691695" w:rsidRDefault="00D83357" w:rsidP="00691695">
      <w:pPr>
        <w:numPr>
          <w:ilvl w:val="0"/>
          <w:numId w:val="24"/>
        </w:numPr>
        <w:spacing w:line="276" w:lineRule="auto"/>
        <w:ind w:right="140"/>
        <w:jc w:val="both"/>
        <w:rPr>
          <w:rFonts w:ascii="Arial" w:eastAsia="Arial" w:hAnsi="Arial" w:cs="Arial"/>
          <w:sz w:val="22"/>
          <w:szCs w:val="22"/>
        </w:rPr>
      </w:pPr>
      <w:r w:rsidRPr="00691695">
        <w:rPr>
          <w:rFonts w:ascii="Arial" w:eastAsia="Arial" w:hAnsi="Arial" w:cs="Arial"/>
          <w:sz w:val="22"/>
          <w:szCs w:val="22"/>
        </w:rPr>
        <w:t>Užtikrinti, kad fakultete būtų mechanizmai, skatinantys dalijimąsi informacija ir gerąja patirtimi tarp programų.</w:t>
      </w:r>
    </w:p>
    <w:p w14:paraId="5821876E" w14:textId="77777777" w:rsidR="00D83357" w:rsidRPr="00691695" w:rsidRDefault="00D83357" w:rsidP="00691695">
      <w:pPr>
        <w:numPr>
          <w:ilvl w:val="0"/>
          <w:numId w:val="24"/>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Atsižvelgiant į laisvųjų menų modelio privalumus, reikia apsvarstyti, kaip studentai gali planuoti savo gebėjimų ugdymą visoje programoje.</w:t>
      </w:r>
    </w:p>
    <w:p w14:paraId="4C9A655C" w14:textId="77777777" w:rsidR="00291AB7" w:rsidRPr="002D0027" w:rsidRDefault="00291AB7" w:rsidP="00691695">
      <w:pPr>
        <w:spacing w:after="200" w:line="276" w:lineRule="auto"/>
        <w:ind w:right="140"/>
        <w:jc w:val="both"/>
        <w:rPr>
          <w:rFonts w:ascii="Arial" w:eastAsia="Calibri" w:hAnsi="Arial" w:cs="Arial"/>
          <w:sz w:val="22"/>
          <w:szCs w:val="22"/>
          <w:lang w:eastAsia="lt-LT"/>
        </w:rPr>
      </w:pPr>
      <w:r w:rsidRPr="00691695">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74F230C2" w14:textId="77777777" w:rsidTr="00691695">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691695">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224E0540" w:rsidR="007E04D8" w:rsidRPr="002D0027" w:rsidRDefault="00D8335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691695">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E674467" w14:textId="262C2252" w:rsidR="007E04D8" w:rsidRPr="002D0027" w:rsidRDefault="00D8335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39A519EC"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7273F256" w14:textId="5B87F1BA" w:rsidR="00C16716" w:rsidRPr="00691695" w:rsidRDefault="00C16716" w:rsidP="00691695">
      <w:pPr>
        <w:numPr>
          <w:ilvl w:val="0"/>
          <w:numId w:val="25"/>
        </w:numPr>
        <w:spacing w:line="276" w:lineRule="auto"/>
        <w:ind w:right="140"/>
        <w:jc w:val="both"/>
        <w:rPr>
          <w:rFonts w:ascii="Arial" w:eastAsia="Arial" w:hAnsi="Arial" w:cs="Arial"/>
          <w:sz w:val="22"/>
          <w:szCs w:val="22"/>
        </w:rPr>
      </w:pPr>
      <w:r w:rsidRPr="00691695">
        <w:rPr>
          <w:rFonts w:ascii="Arial" w:eastAsia="Arial" w:hAnsi="Arial" w:cs="Arial"/>
          <w:sz w:val="22"/>
          <w:szCs w:val="22"/>
        </w:rPr>
        <w:t>Tarpdalykinių tyrimų grupės veiksmingai padeda integruoti tarpdalykinį mąstymą į dalykų kursus ir praktiką</w:t>
      </w:r>
      <w:r w:rsidR="00691695">
        <w:rPr>
          <w:rFonts w:ascii="Arial" w:eastAsia="Arial" w:hAnsi="Arial" w:cs="Arial"/>
          <w:sz w:val="22"/>
          <w:szCs w:val="22"/>
        </w:rPr>
        <w:t xml:space="preserve"> auditorijose</w:t>
      </w:r>
      <w:r w:rsidRPr="00691695">
        <w:rPr>
          <w:rFonts w:ascii="Arial" w:eastAsia="Arial" w:hAnsi="Arial" w:cs="Arial"/>
          <w:sz w:val="22"/>
          <w:szCs w:val="22"/>
        </w:rPr>
        <w:t>.</w:t>
      </w:r>
    </w:p>
    <w:p w14:paraId="6A2A05F4"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69335C25" w14:textId="77777777" w:rsidR="007E04D8"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7262F6F7"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59A967C7" w14:textId="0C9C468C" w:rsidR="007E04D8"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52FF157C"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55FBE9DE" w14:textId="77777777" w:rsidR="00384199" w:rsidRPr="00691695" w:rsidRDefault="00384199" w:rsidP="00691695">
      <w:pPr>
        <w:numPr>
          <w:ilvl w:val="0"/>
          <w:numId w:val="26"/>
        </w:numPr>
        <w:spacing w:line="276" w:lineRule="auto"/>
        <w:ind w:right="140"/>
        <w:jc w:val="both"/>
        <w:rPr>
          <w:rFonts w:ascii="Arial" w:eastAsia="Arial" w:hAnsi="Arial" w:cs="Arial"/>
          <w:sz w:val="22"/>
          <w:szCs w:val="22"/>
        </w:rPr>
      </w:pPr>
      <w:r w:rsidRPr="00691695">
        <w:rPr>
          <w:rFonts w:ascii="Arial" w:eastAsia="Arial" w:hAnsi="Arial" w:cs="Arial"/>
          <w:sz w:val="22"/>
          <w:szCs w:val="22"/>
        </w:rPr>
        <w:t>Sukurti politiką, kuri padėtų padidinti akademinio personalo dalyvavimą mokslinių tyrimų projektuose.</w:t>
      </w:r>
    </w:p>
    <w:p w14:paraId="3C47DFE3" w14:textId="77777777" w:rsidR="00384199" w:rsidRPr="00691695" w:rsidRDefault="00384199" w:rsidP="00691695">
      <w:pPr>
        <w:numPr>
          <w:ilvl w:val="0"/>
          <w:numId w:val="26"/>
        </w:numPr>
        <w:spacing w:line="276" w:lineRule="auto"/>
        <w:ind w:right="140"/>
        <w:jc w:val="both"/>
        <w:rPr>
          <w:rFonts w:ascii="Arial" w:eastAsia="Arial" w:hAnsi="Arial" w:cs="Arial"/>
          <w:sz w:val="22"/>
          <w:szCs w:val="22"/>
        </w:rPr>
      </w:pPr>
      <w:r w:rsidRPr="00691695">
        <w:rPr>
          <w:rFonts w:ascii="Arial" w:eastAsia="Arial" w:hAnsi="Arial" w:cs="Arial"/>
          <w:sz w:val="22"/>
          <w:szCs w:val="22"/>
        </w:rPr>
        <w:t>Nustatyti sistemingą požiūrį į fakulteto mokslinių tyrimų pasiekimų integravimą ir skatinimą jų dėstomuose kursuose.</w:t>
      </w:r>
    </w:p>
    <w:p w14:paraId="1FB25ACE" w14:textId="56FAAC18" w:rsidR="007E04D8" w:rsidRPr="00691695" w:rsidRDefault="00384199" w:rsidP="00691695">
      <w:pPr>
        <w:numPr>
          <w:ilvl w:val="0"/>
          <w:numId w:val="26"/>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Parengti strateginį planą, į kurį būtų įtrauktos atitinkamos lyginamosios analizės priemonės, siekiant padidinti studentų įsitraukimą į mokslinius tyrimus.</w:t>
      </w:r>
    </w:p>
    <w:p w14:paraId="18525D57" w14:textId="09696CBE" w:rsidR="007E04D8" w:rsidRPr="00691695" w:rsidRDefault="00DE3287"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w:t>
      </w:r>
      <w:r w:rsidR="007E04D8" w:rsidRPr="00691695">
        <w:rPr>
          <w:rFonts w:ascii="Arial" w:eastAsia="Calibri" w:hAnsi="Arial" w:cs="Arial"/>
          <w:iCs/>
          <w:color w:val="5B0009"/>
          <w:sz w:val="22"/>
          <w:szCs w:val="22"/>
          <w:lang w:eastAsia="lt-LT"/>
        </w:rPr>
        <w:t xml:space="preserve"> tobulėjimui</w:t>
      </w:r>
    </w:p>
    <w:p w14:paraId="2AD3978B"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3DF13CB1" w14:textId="77777777" w:rsidR="00B46843" w:rsidRPr="00691695" w:rsidRDefault="00B46843" w:rsidP="00691695">
      <w:pPr>
        <w:numPr>
          <w:ilvl w:val="0"/>
          <w:numId w:val="27"/>
        </w:numPr>
        <w:spacing w:line="276" w:lineRule="auto"/>
        <w:ind w:right="140"/>
        <w:jc w:val="both"/>
        <w:rPr>
          <w:rFonts w:ascii="Arial" w:eastAsia="Arial" w:hAnsi="Arial" w:cs="Arial"/>
          <w:sz w:val="22"/>
          <w:szCs w:val="22"/>
        </w:rPr>
      </w:pPr>
      <w:r w:rsidRPr="00691695">
        <w:rPr>
          <w:rFonts w:ascii="Arial" w:eastAsia="Arial" w:hAnsi="Arial" w:cs="Arial"/>
          <w:sz w:val="22"/>
          <w:szCs w:val="22"/>
        </w:rPr>
        <w:t>Įgyvendindamas savo strateginę viziją, fakultetas siekia plėsti studijų programų tarptautinį aspektą, todėl studentų skaičius taps įvairesnis, o užsienio dėstytojų (šiuo metu jie sudaro apie 10-15 proc.) poreikis padidės. Tikintis to, būtų naudinga apsvarstyti, kokių (per)priemonių reikia, kad įvairialypis studentų korpusas ir toliau aktyviai dalyvautų mokslinių tyrimų veikloje. Didelė Erasmus studentų dalis kelia papildomų iššūkių šiuo atžvilgiu.</w:t>
      </w:r>
    </w:p>
    <w:p w14:paraId="3CEF4AA6" w14:textId="77777777" w:rsidR="00291AB7" w:rsidRPr="00691695" w:rsidRDefault="00291AB7" w:rsidP="00691695">
      <w:pPr>
        <w:spacing w:after="200" w:line="276" w:lineRule="auto"/>
        <w:ind w:right="140"/>
        <w:jc w:val="both"/>
        <w:rPr>
          <w:rFonts w:ascii="Arial" w:eastAsia="Calibri" w:hAnsi="Arial" w:cs="Arial"/>
          <w:sz w:val="22"/>
          <w:szCs w:val="22"/>
          <w:lang w:val="en-GB" w:eastAsia="lt-LT"/>
        </w:rPr>
      </w:pPr>
      <w:r w:rsidRPr="00691695">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265FF2C2" w:rsidR="007E04D8" w:rsidRPr="002D0027" w:rsidRDefault="00B468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D5BB817" w14:textId="49F0B785" w:rsidR="007E04D8" w:rsidRPr="002D0027" w:rsidRDefault="00B468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456D6A95"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1842CCB3" w14:textId="77777777" w:rsidR="004424A0" w:rsidRPr="00691695" w:rsidRDefault="004424A0" w:rsidP="00691695">
      <w:pPr>
        <w:numPr>
          <w:ilvl w:val="0"/>
          <w:numId w:val="28"/>
        </w:numPr>
        <w:spacing w:line="276" w:lineRule="auto"/>
        <w:ind w:right="140"/>
        <w:jc w:val="both"/>
        <w:rPr>
          <w:rFonts w:ascii="Arial" w:eastAsia="Arial" w:hAnsi="Arial" w:cs="Arial"/>
          <w:sz w:val="22"/>
          <w:szCs w:val="22"/>
        </w:rPr>
      </w:pPr>
      <w:r w:rsidRPr="00691695">
        <w:rPr>
          <w:rFonts w:ascii="Arial" w:eastAsia="Arial" w:hAnsi="Arial" w:cs="Arial"/>
          <w:sz w:val="22"/>
          <w:szCs w:val="22"/>
        </w:rPr>
        <w:t>Gerai išvystyta akademinės, socialinės, finansinės ir kitokios paramos studentams sistema.</w:t>
      </w:r>
    </w:p>
    <w:p w14:paraId="55B3BF6D" w14:textId="77777777" w:rsidR="004424A0" w:rsidRPr="00691695" w:rsidRDefault="004424A0" w:rsidP="00691695">
      <w:pPr>
        <w:numPr>
          <w:ilvl w:val="0"/>
          <w:numId w:val="28"/>
        </w:numPr>
        <w:pBdr>
          <w:top w:val="nil"/>
          <w:left w:val="nil"/>
          <w:bottom w:val="nil"/>
          <w:right w:val="nil"/>
          <w:between w:val="nil"/>
        </w:pBdr>
        <w:spacing w:line="276" w:lineRule="auto"/>
        <w:ind w:right="140"/>
        <w:jc w:val="both"/>
        <w:rPr>
          <w:rFonts w:ascii="Arial" w:eastAsia="Arial" w:hAnsi="Arial" w:cs="Arial"/>
          <w:color w:val="000000"/>
          <w:sz w:val="22"/>
          <w:szCs w:val="22"/>
        </w:rPr>
      </w:pPr>
      <w:r w:rsidRPr="00691695">
        <w:rPr>
          <w:rFonts w:ascii="Arial" w:eastAsia="Arial" w:hAnsi="Arial" w:cs="Arial"/>
          <w:sz w:val="22"/>
          <w:szCs w:val="22"/>
        </w:rPr>
        <w:t>Reagavimas į pareiškėjų poreikių pokyčius ir programų pritaikymas.</w:t>
      </w:r>
    </w:p>
    <w:p w14:paraId="5616C1D2"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421682E9" w14:textId="77777777" w:rsidR="007E04D8"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74A8F484"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10B95DEC" w14:textId="1CA6BB32" w:rsidR="007E04D8"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3254E4DA"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41DA4B94" w14:textId="77777777" w:rsidR="00BF0A37" w:rsidRPr="00691695" w:rsidRDefault="00BF0A37" w:rsidP="00691695">
      <w:pPr>
        <w:numPr>
          <w:ilvl w:val="0"/>
          <w:numId w:val="29"/>
        </w:numPr>
        <w:spacing w:line="276" w:lineRule="auto"/>
        <w:ind w:right="140"/>
        <w:jc w:val="both"/>
        <w:rPr>
          <w:rFonts w:ascii="Arial" w:eastAsia="Arial" w:hAnsi="Arial" w:cs="Arial"/>
          <w:sz w:val="22"/>
          <w:szCs w:val="22"/>
        </w:rPr>
      </w:pPr>
      <w:r w:rsidRPr="00691695">
        <w:rPr>
          <w:rFonts w:ascii="Arial" w:eastAsia="Arial" w:hAnsi="Arial" w:cs="Arial"/>
          <w:sz w:val="22"/>
          <w:szCs w:val="22"/>
        </w:rPr>
        <w:t>Interneto svetainėje aiškiau informuoti apie naująją programą ir jos specializacijas. Be to, padidinti bendrą programos žinomumą ir užmegzti ryšį su tiksline auditorija, siekiant pritraukti daugiau motyvuotų studentų, kurie pirmiausia rinktųsi studijas VDU.</w:t>
      </w:r>
    </w:p>
    <w:p w14:paraId="53262B86"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7A60850C" w14:textId="21A1AC32" w:rsidR="007E04D8" w:rsidRPr="00691695" w:rsidRDefault="00DE3287"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w:t>
      </w:r>
      <w:r w:rsidR="007E04D8" w:rsidRPr="00691695">
        <w:rPr>
          <w:rFonts w:ascii="Arial" w:eastAsia="Calibri" w:hAnsi="Arial" w:cs="Arial"/>
          <w:iCs/>
          <w:color w:val="5B0009"/>
          <w:sz w:val="22"/>
          <w:szCs w:val="22"/>
          <w:lang w:eastAsia="lt-LT"/>
        </w:rPr>
        <w:t xml:space="preserve"> tobulėjimui</w:t>
      </w:r>
    </w:p>
    <w:p w14:paraId="63DD279A"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325790F9" w14:textId="77777777" w:rsidR="004B5551" w:rsidRPr="00691695" w:rsidRDefault="004B5551" w:rsidP="00691695">
      <w:pPr>
        <w:numPr>
          <w:ilvl w:val="0"/>
          <w:numId w:val="30"/>
        </w:numPr>
        <w:spacing w:line="276" w:lineRule="auto"/>
        <w:ind w:right="140"/>
        <w:jc w:val="both"/>
        <w:rPr>
          <w:rFonts w:ascii="Arial" w:eastAsia="Arial" w:hAnsi="Arial" w:cs="Arial"/>
          <w:sz w:val="22"/>
          <w:szCs w:val="22"/>
        </w:rPr>
      </w:pPr>
      <w:r w:rsidRPr="00691695">
        <w:rPr>
          <w:rFonts w:ascii="Arial" w:eastAsia="Arial" w:hAnsi="Arial" w:cs="Arial"/>
          <w:sz w:val="22"/>
          <w:szCs w:val="22"/>
        </w:rPr>
        <w:t>Skatinti studentus aktyviau dalyvauti mainų programose ir suteikti daugiau galimybių trumpalaikiams vizitams, kad studentai galėtų įgyti patirties neatsisakydami įsipareigojimų Lietuvoje.</w:t>
      </w:r>
    </w:p>
    <w:p w14:paraId="154989DB" w14:textId="77777777" w:rsidR="00291AB7" w:rsidRPr="00691695" w:rsidRDefault="00291AB7" w:rsidP="00691695">
      <w:pPr>
        <w:spacing w:after="200" w:line="276" w:lineRule="auto"/>
        <w:ind w:right="140"/>
        <w:jc w:val="both"/>
        <w:rPr>
          <w:rFonts w:ascii="Arial" w:eastAsia="Calibri" w:hAnsi="Arial" w:cs="Arial"/>
          <w:sz w:val="22"/>
          <w:szCs w:val="22"/>
          <w:lang w:eastAsia="lt-LT"/>
        </w:rPr>
      </w:pPr>
      <w:r w:rsidRPr="00691695">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165FC25F" w14:textId="77777777" w:rsidTr="00691695">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691695">
        <w:tc>
          <w:tcPr>
            <w:tcW w:w="1720"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5ADB8F2C" w:rsidR="007E04D8" w:rsidRPr="002D0027" w:rsidRDefault="004B5551"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691695">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5B225A4" w14:textId="34107A07" w:rsidR="007E04D8" w:rsidRPr="002D0027" w:rsidRDefault="004B5551"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66A98FB5"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36AC7664" w14:textId="5ACBFE34" w:rsidR="000A2B29" w:rsidRPr="00691695" w:rsidRDefault="000A2B29" w:rsidP="00691695">
      <w:pPr>
        <w:numPr>
          <w:ilvl w:val="0"/>
          <w:numId w:val="31"/>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 xml:space="preserve">Unikalių skaitmeninių mokymosi priemonių dalykams (pvz., virtualių </w:t>
      </w:r>
      <w:r w:rsidR="00F17F22" w:rsidRPr="00691695">
        <w:rPr>
          <w:rFonts w:ascii="Arial" w:eastAsia="Arial" w:hAnsi="Arial" w:cs="Arial"/>
          <w:sz w:val="22"/>
          <w:szCs w:val="22"/>
        </w:rPr>
        <w:t>dėstytojų</w:t>
      </w:r>
      <w:r w:rsidRPr="00691695">
        <w:rPr>
          <w:rFonts w:ascii="Arial" w:eastAsia="Arial" w:hAnsi="Arial" w:cs="Arial"/>
          <w:sz w:val="22"/>
          <w:szCs w:val="22"/>
        </w:rPr>
        <w:t xml:space="preserve"> kabinetų ir simuliacinių įmonių, dirbtinio intelekto įrankių, pabėgimo kambarių ir kitų unikalių ir novatoriškų užduočių) kūrimas projekte "Skaitmeninė švietimo transformacija" ("EdTech").</w:t>
      </w:r>
    </w:p>
    <w:p w14:paraId="1146A243" w14:textId="77777777" w:rsidR="000A2B29" w:rsidRPr="00691695" w:rsidRDefault="000A2B29" w:rsidP="00691695">
      <w:pPr>
        <w:numPr>
          <w:ilvl w:val="0"/>
          <w:numId w:val="31"/>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Dviejų privalomų praktikų sistema pirmosios pakopos studentams, kuri gali suteikti daugiau galimybių, palyginti su sistemomis, numatančiomis tik vieną privalomą praktiką.</w:t>
      </w:r>
    </w:p>
    <w:p w14:paraId="3CD96C2C"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7C17BB15" w14:textId="77777777" w:rsidR="007E04D8"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3571126F"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4DDD0543" w14:textId="37A7B041" w:rsidR="007E04D8"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331FCC7C"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200950F9" w14:textId="516CCB20" w:rsidR="00171B81" w:rsidRPr="00691695" w:rsidRDefault="00171B81" w:rsidP="00691695">
      <w:pPr>
        <w:numPr>
          <w:ilvl w:val="0"/>
          <w:numId w:val="32"/>
        </w:numPr>
        <w:spacing w:line="276" w:lineRule="auto"/>
        <w:ind w:right="140"/>
        <w:jc w:val="both"/>
        <w:rPr>
          <w:rFonts w:ascii="Arial" w:eastAsia="Arial" w:hAnsi="Arial" w:cs="Arial"/>
          <w:sz w:val="22"/>
          <w:szCs w:val="22"/>
        </w:rPr>
      </w:pPr>
      <w:r w:rsidRPr="00691695">
        <w:rPr>
          <w:rFonts w:ascii="Arial" w:eastAsia="Arial" w:hAnsi="Arial" w:cs="Arial"/>
          <w:sz w:val="22"/>
          <w:szCs w:val="22"/>
        </w:rPr>
        <w:t xml:space="preserve">Pirmosios pakopos programų racionalizavimas padėtų sustiprinti </w:t>
      </w:r>
      <w:r w:rsidR="00F17F22" w:rsidRPr="00691695">
        <w:rPr>
          <w:rFonts w:ascii="Arial" w:eastAsia="Arial" w:hAnsi="Arial" w:cs="Arial"/>
          <w:sz w:val="22"/>
          <w:szCs w:val="22"/>
        </w:rPr>
        <w:t>dėstymo</w:t>
      </w:r>
      <w:r w:rsidRPr="00691695">
        <w:rPr>
          <w:rFonts w:ascii="Arial" w:eastAsia="Arial" w:hAnsi="Arial" w:cs="Arial"/>
          <w:sz w:val="22"/>
          <w:szCs w:val="22"/>
        </w:rPr>
        <w:t xml:space="preserve"> ir </w:t>
      </w:r>
      <w:r w:rsidR="00BD0902" w:rsidRPr="00691695">
        <w:rPr>
          <w:rFonts w:ascii="Arial" w:eastAsia="Arial" w:hAnsi="Arial" w:cs="Arial"/>
          <w:sz w:val="22"/>
          <w:szCs w:val="22"/>
        </w:rPr>
        <w:t>studijų</w:t>
      </w:r>
      <w:r w:rsidRPr="00691695">
        <w:rPr>
          <w:rFonts w:ascii="Arial" w:eastAsia="Arial" w:hAnsi="Arial" w:cs="Arial"/>
          <w:sz w:val="22"/>
          <w:szCs w:val="22"/>
        </w:rPr>
        <w:t xml:space="preserve"> metodus, taip pat bendrus organizacinius procesus. Tai taip pat turėtų padėti sustiprinti tarpdisciplininį kursų koordinavimą, nustatyti aiškias sąsajas tarp metodų ir </w:t>
      </w:r>
      <w:r w:rsidR="00BD0902" w:rsidRPr="00691695">
        <w:rPr>
          <w:rFonts w:ascii="Arial" w:eastAsia="Arial" w:hAnsi="Arial" w:cs="Arial"/>
          <w:sz w:val="22"/>
          <w:szCs w:val="22"/>
        </w:rPr>
        <w:t>studijų</w:t>
      </w:r>
      <w:r w:rsidRPr="00691695">
        <w:rPr>
          <w:rFonts w:ascii="Arial" w:eastAsia="Arial" w:hAnsi="Arial" w:cs="Arial"/>
          <w:sz w:val="22"/>
          <w:szCs w:val="22"/>
        </w:rPr>
        <w:t xml:space="preserve"> rezultatų studijų programose, geriau pritaikyti šiuos metodus atsižvelgiant į didėjantį užsienio studentų skaičių, sustiprinti </w:t>
      </w:r>
      <w:r w:rsidR="00047713" w:rsidRPr="00691695">
        <w:rPr>
          <w:rFonts w:ascii="Arial" w:eastAsia="Arial" w:hAnsi="Arial" w:cs="Arial"/>
          <w:sz w:val="22"/>
          <w:szCs w:val="22"/>
        </w:rPr>
        <w:t>dėstymo</w:t>
      </w:r>
      <w:r w:rsidRPr="00691695">
        <w:rPr>
          <w:rFonts w:ascii="Arial" w:eastAsia="Arial" w:hAnsi="Arial" w:cs="Arial"/>
          <w:sz w:val="22"/>
          <w:szCs w:val="22"/>
        </w:rPr>
        <w:t xml:space="preserve"> turinį (pvz., sustiprinti kiekybinių metodų </w:t>
      </w:r>
      <w:r w:rsidR="0095160F" w:rsidRPr="00691695">
        <w:rPr>
          <w:rFonts w:ascii="Arial" w:eastAsia="Arial" w:hAnsi="Arial" w:cs="Arial"/>
          <w:sz w:val="22"/>
          <w:szCs w:val="22"/>
        </w:rPr>
        <w:t>dėstymą</w:t>
      </w:r>
      <w:r w:rsidRPr="00691695">
        <w:rPr>
          <w:rFonts w:ascii="Arial" w:eastAsia="Arial" w:hAnsi="Arial" w:cs="Arial"/>
          <w:sz w:val="22"/>
          <w:szCs w:val="22"/>
        </w:rPr>
        <w:t>) ir toliau gerinti aukštojo mokslo prieinamumą užsienio studentams šioje srityje.</w:t>
      </w:r>
    </w:p>
    <w:p w14:paraId="20742432" w14:textId="77777777" w:rsidR="00171B81" w:rsidRPr="00691695" w:rsidRDefault="00171B81" w:rsidP="00691695">
      <w:pPr>
        <w:numPr>
          <w:ilvl w:val="0"/>
          <w:numId w:val="32"/>
        </w:numPr>
        <w:spacing w:line="276" w:lineRule="auto"/>
        <w:ind w:right="140"/>
        <w:jc w:val="both"/>
        <w:rPr>
          <w:rFonts w:ascii="Arial" w:eastAsia="Arial" w:hAnsi="Arial" w:cs="Arial"/>
          <w:sz w:val="22"/>
          <w:szCs w:val="22"/>
        </w:rPr>
      </w:pPr>
      <w:r w:rsidRPr="00691695">
        <w:rPr>
          <w:rFonts w:ascii="Arial" w:eastAsia="Arial" w:hAnsi="Arial" w:cs="Arial"/>
          <w:sz w:val="22"/>
          <w:szCs w:val="22"/>
        </w:rPr>
        <w:t xml:space="preserve">Universitetų absolventų (ypač pirmosios pakopos absolventų) įsidarbinimo galimybes būtų galima dar labiau padidinti sistemingiau ir visapusiškiau teikiant profesinio orientavimo paslaugas, kad jos būtų teikiamos visiems studentams kuo ankstesnėje jų studijų trajektorijos stadijoje. Ankstesniame vertinime taip pat buvo pabrėžta, kad reikia mentorystės programos, kad absolventai aktyviau dalyvautų studijų programoje. </w:t>
      </w:r>
    </w:p>
    <w:p w14:paraId="19F72490"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39425F16" w14:textId="510569BE" w:rsidR="007E04D8" w:rsidRPr="00691695" w:rsidRDefault="00DE3287"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w:t>
      </w:r>
      <w:r w:rsidR="007E04D8" w:rsidRPr="00691695">
        <w:rPr>
          <w:rFonts w:ascii="Arial" w:eastAsia="Calibri" w:hAnsi="Arial" w:cs="Arial"/>
          <w:iCs/>
          <w:color w:val="5B0009"/>
          <w:sz w:val="22"/>
          <w:szCs w:val="22"/>
          <w:lang w:eastAsia="lt-LT"/>
        </w:rPr>
        <w:t xml:space="preserve"> tobulėjimui</w:t>
      </w:r>
    </w:p>
    <w:p w14:paraId="4246A05D"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4DE79E87" w14:textId="5A214660" w:rsidR="00FD1CB0" w:rsidRPr="00691695" w:rsidRDefault="00FD1CB0" w:rsidP="00691695">
      <w:pPr>
        <w:numPr>
          <w:ilvl w:val="0"/>
          <w:numId w:val="33"/>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Sistemingesnė užimtumo statistikos stebėsena, įskaitant reguliarių darbdavių apklausų vykdymą ir geresnės prieigos prie užsienio absolventų įsidarbinimo duomenų užtikrinimą.</w:t>
      </w:r>
    </w:p>
    <w:p w14:paraId="7DAE13AF" w14:textId="6560C1D1" w:rsidR="00FD1CB0" w:rsidRPr="00691695" w:rsidRDefault="00BD0902" w:rsidP="00691695">
      <w:pPr>
        <w:numPr>
          <w:ilvl w:val="0"/>
          <w:numId w:val="33"/>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D</w:t>
      </w:r>
      <w:r w:rsidR="00FD1CB0" w:rsidRPr="00691695">
        <w:rPr>
          <w:rFonts w:ascii="Arial" w:eastAsia="Arial" w:hAnsi="Arial" w:cs="Arial"/>
          <w:sz w:val="22"/>
          <w:szCs w:val="22"/>
        </w:rPr>
        <w:t>arbo vietoje</w:t>
      </w:r>
      <w:r w:rsidRPr="00691695">
        <w:rPr>
          <w:rFonts w:ascii="Arial" w:eastAsia="Arial" w:hAnsi="Arial" w:cs="Arial"/>
          <w:sz w:val="22"/>
          <w:szCs w:val="22"/>
        </w:rPr>
        <w:t xml:space="preserve"> atliekamo mokymosi</w:t>
      </w:r>
      <w:r w:rsidR="00FD1CB0" w:rsidRPr="00691695">
        <w:rPr>
          <w:rFonts w:ascii="Arial" w:eastAsia="Arial" w:hAnsi="Arial" w:cs="Arial"/>
          <w:sz w:val="22"/>
          <w:szCs w:val="22"/>
        </w:rPr>
        <w:t xml:space="preserve"> komponentus, ypač pirmosios pakopos programose, būtų galima patobulinti stiprinant partnerystę su darbdaviais praktinio darbo veiklos, įskaitant stažuotes, srityje, renkant išsamius darbdavių atsiliepimus ir naudojant juos tolesniam praktinio darbo veiklos tobulinimui.</w:t>
      </w:r>
    </w:p>
    <w:p w14:paraId="6D913B94" w14:textId="650EA3C8" w:rsidR="00291AB7" w:rsidRPr="00691695" w:rsidRDefault="00FD1CB0" w:rsidP="00691695">
      <w:pPr>
        <w:numPr>
          <w:ilvl w:val="0"/>
          <w:numId w:val="33"/>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Disertacijos temos įvairovės problemų sprendimas.</w:t>
      </w:r>
      <w:r w:rsidR="00291AB7" w:rsidRPr="00691695">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1C5A9661" w14:textId="77777777" w:rsidTr="00691695">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691695">
        <w:tc>
          <w:tcPr>
            <w:tcW w:w="1720"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1A360D39" w:rsidR="007E04D8" w:rsidRPr="002D0027" w:rsidRDefault="00FD1CB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691695">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3EEE3D1" w14:textId="26A605DF" w:rsidR="007E04D8" w:rsidRPr="002D0027" w:rsidRDefault="00FD1CB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5F91FA3D"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1662E4BF" w14:textId="6DD9CFFC" w:rsidR="00B1323E" w:rsidRPr="00691695" w:rsidRDefault="00B1323E" w:rsidP="00691695">
      <w:pPr>
        <w:numPr>
          <w:ilvl w:val="0"/>
          <w:numId w:val="34"/>
        </w:numPr>
        <w:spacing w:line="276" w:lineRule="auto"/>
        <w:ind w:right="140"/>
        <w:jc w:val="both"/>
        <w:rPr>
          <w:rFonts w:ascii="Arial" w:eastAsia="Arial" w:hAnsi="Arial" w:cs="Arial"/>
          <w:sz w:val="22"/>
          <w:szCs w:val="22"/>
        </w:rPr>
      </w:pPr>
      <w:r w:rsidRPr="00691695">
        <w:rPr>
          <w:rFonts w:ascii="Arial" w:eastAsia="Arial" w:hAnsi="Arial" w:cs="Arial"/>
          <w:sz w:val="22"/>
          <w:szCs w:val="22"/>
        </w:rPr>
        <w:t xml:space="preserve">Mokslinių tyrimų klasteris sukuria perspektyvų pagrindą daugiadalykiams ir tarpdalykiniams moksliniams tyrimams ir </w:t>
      </w:r>
      <w:r w:rsidR="00047713" w:rsidRPr="00691695">
        <w:rPr>
          <w:rFonts w:ascii="Arial" w:eastAsia="Arial" w:hAnsi="Arial" w:cs="Arial"/>
          <w:sz w:val="22"/>
          <w:szCs w:val="22"/>
        </w:rPr>
        <w:t>dėstymui</w:t>
      </w:r>
      <w:r w:rsidRPr="00691695">
        <w:rPr>
          <w:rFonts w:ascii="Arial" w:eastAsia="Arial" w:hAnsi="Arial" w:cs="Arial"/>
          <w:sz w:val="22"/>
          <w:szCs w:val="22"/>
        </w:rPr>
        <w:t>.</w:t>
      </w:r>
    </w:p>
    <w:p w14:paraId="4D082D23" w14:textId="7FE71BA8" w:rsidR="007E04D8" w:rsidRPr="00691695" w:rsidRDefault="00B1323E" w:rsidP="00691695">
      <w:pPr>
        <w:numPr>
          <w:ilvl w:val="0"/>
          <w:numId w:val="34"/>
        </w:numPr>
        <w:spacing w:after="240" w:line="276" w:lineRule="auto"/>
        <w:ind w:right="140"/>
        <w:jc w:val="both"/>
        <w:rPr>
          <w:rFonts w:ascii="Arial" w:eastAsia="Arial" w:hAnsi="Arial" w:cs="Arial"/>
          <w:sz w:val="22"/>
          <w:szCs w:val="22"/>
        </w:rPr>
      </w:pPr>
      <w:r w:rsidRPr="00691695">
        <w:rPr>
          <w:rFonts w:ascii="Arial" w:eastAsia="Arial" w:hAnsi="Arial" w:cs="Arial"/>
          <w:sz w:val="22"/>
          <w:szCs w:val="22"/>
        </w:rPr>
        <w:t>Įvairūs vidiniai mokymai, skirti darbuotojų profesiniam tobulėjimui, ir deramas dėmesys šiam aspektui.</w:t>
      </w:r>
    </w:p>
    <w:p w14:paraId="4DB8706E" w14:textId="77777777" w:rsidR="007E04D8"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37BE0833"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104D5702" w14:textId="716E7F5E" w:rsidR="007E04D8"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020FB056"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07EEC5C8" w14:textId="77777777" w:rsidR="00E45E78" w:rsidRPr="00691695" w:rsidRDefault="00E45E78" w:rsidP="00691695">
      <w:pPr>
        <w:numPr>
          <w:ilvl w:val="0"/>
          <w:numId w:val="35"/>
        </w:numPr>
        <w:spacing w:line="276" w:lineRule="auto"/>
        <w:ind w:right="140"/>
        <w:jc w:val="both"/>
        <w:rPr>
          <w:rFonts w:ascii="Arial" w:eastAsia="Arial" w:hAnsi="Arial" w:cs="Arial"/>
          <w:sz w:val="22"/>
          <w:szCs w:val="22"/>
        </w:rPr>
      </w:pPr>
      <w:r w:rsidRPr="00691695">
        <w:rPr>
          <w:rFonts w:ascii="Arial" w:eastAsia="Arial" w:hAnsi="Arial" w:cs="Arial"/>
          <w:sz w:val="22"/>
          <w:szCs w:val="22"/>
        </w:rPr>
        <w:t>Plėtoti kiekybinių metodų naudojimą ir taikymą tiek akademinio personalo moksliniuose tyrimuose, tiek dėstant visų trijų programų antrosios pakopos kursus.</w:t>
      </w:r>
    </w:p>
    <w:p w14:paraId="6E2649A4" w14:textId="77777777" w:rsidR="00E45E78" w:rsidRPr="00691695" w:rsidRDefault="00E45E78" w:rsidP="00691695">
      <w:pPr>
        <w:numPr>
          <w:ilvl w:val="0"/>
          <w:numId w:val="35"/>
        </w:numPr>
        <w:pBdr>
          <w:top w:val="nil"/>
          <w:left w:val="nil"/>
          <w:bottom w:val="nil"/>
          <w:right w:val="nil"/>
          <w:between w:val="nil"/>
        </w:pBdr>
        <w:spacing w:line="276" w:lineRule="auto"/>
        <w:ind w:right="140"/>
        <w:jc w:val="both"/>
        <w:rPr>
          <w:rFonts w:ascii="Arial" w:eastAsia="Arial" w:hAnsi="Arial" w:cs="Arial"/>
          <w:sz w:val="22"/>
          <w:szCs w:val="22"/>
        </w:rPr>
      </w:pPr>
      <w:r w:rsidRPr="00691695">
        <w:rPr>
          <w:rFonts w:ascii="Arial" w:eastAsia="Arial" w:hAnsi="Arial" w:cs="Arial"/>
          <w:sz w:val="22"/>
          <w:szCs w:val="22"/>
        </w:rPr>
        <w:t>Skatinti akademinio personalo internacionalizaciją, taip pat siekiant įgyvendinti universiteto strateginius tikslus plėsti tarptautinę pareiškėjų bazę.</w:t>
      </w:r>
    </w:p>
    <w:p w14:paraId="0FA853CD"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47A3A681" w14:textId="473207D1" w:rsidR="007E04D8" w:rsidRPr="00691695" w:rsidRDefault="00DE3287"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w:t>
      </w:r>
      <w:r w:rsidR="007E04D8" w:rsidRPr="00691695">
        <w:rPr>
          <w:rFonts w:ascii="Arial" w:eastAsia="Calibri" w:hAnsi="Arial" w:cs="Arial"/>
          <w:iCs/>
          <w:color w:val="5B0009"/>
          <w:sz w:val="22"/>
          <w:szCs w:val="22"/>
          <w:lang w:eastAsia="lt-LT"/>
        </w:rPr>
        <w:t xml:space="preserve"> tobulėjimui</w:t>
      </w:r>
    </w:p>
    <w:p w14:paraId="6C378431" w14:textId="77777777" w:rsidR="007E04D8" w:rsidRPr="00691695"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304EA135" w14:textId="77777777" w:rsidR="009E588C" w:rsidRPr="00691695" w:rsidRDefault="009E588C" w:rsidP="00691695">
      <w:pPr>
        <w:numPr>
          <w:ilvl w:val="0"/>
          <w:numId w:val="36"/>
        </w:numPr>
        <w:spacing w:line="276" w:lineRule="auto"/>
        <w:ind w:right="140"/>
        <w:jc w:val="both"/>
        <w:rPr>
          <w:rFonts w:ascii="Arial" w:eastAsia="Arial" w:hAnsi="Arial" w:cs="Arial"/>
          <w:color w:val="000000"/>
          <w:sz w:val="22"/>
          <w:szCs w:val="22"/>
        </w:rPr>
      </w:pPr>
      <w:r w:rsidRPr="00691695">
        <w:rPr>
          <w:rFonts w:ascii="Arial" w:eastAsia="Arial" w:hAnsi="Arial" w:cs="Arial"/>
          <w:sz w:val="22"/>
          <w:szCs w:val="22"/>
        </w:rPr>
        <w:t>Strategiškiau išnaudoti VDU narystės Transform4EU teikiamas galimybes dėstytojų mainams.</w:t>
      </w:r>
    </w:p>
    <w:p w14:paraId="538B38BB" w14:textId="77777777" w:rsidR="009E588C" w:rsidRPr="00691695" w:rsidRDefault="009E588C" w:rsidP="00691695">
      <w:pPr>
        <w:numPr>
          <w:ilvl w:val="0"/>
          <w:numId w:val="36"/>
        </w:numPr>
        <w:spacing w:line="276" w:lineRule="auto"/>
        <w:ind w:right="140"/>
        <w:jc w:val="both"/>
        <w:rPr>
          <w:rFonts w:ascii="Arial" w:eastAsia="Arial" w:hAnsi="Arial" w:cs="Arial"/>
          <w:color w:val="000000"/>
          <w:sz w:val="22"/>
          <w:szCs w:val="22"/>
        </w:rPr>
      </w:pPr>
      <w:r w:rsidRPr="00691695">
        <w:rPr>
          <w:rFonts w:ascii="Arial" w:eastAsia="Arial" w:hAnsi="Arial" w:cs="Arial"/>
          <w:sz w:val="22"/>
          <w:szCs w:val="22"/>
        </w:rPr>
        <w:t>Remti aukštos kvalifikacijos darbuotojus, kad jie galėtų teikti paraiškas ES mokslinių tyrimų programos EMTT ramsčio dotacijoms gauti.</w:t>
      </w:r>
    </w:p>
    <w:p w14:paraId="1F0C4CE8" w14:textId="12327D6B" w:rsidR="009E588C" w:rsidRPr="00691695" w:rsidRDefault="009E588C" w:rsidP="00691695">
      <w:pPr>
        <w:numPr>
          <w:ilvl w:val="0"/>
          <w:numId w:val="36"/>
        </w:numPr>
        <w:spacing w:after="240" w:line="276" w:lineRule="auto"/>
        <w:ind w:right="140"/>
        <w:jc w:val="both"/>
        <w:rPr>
          <w:rFonts w:ascii="Arial" w:eastAsia="Arial" w:hAnsi="Arial" w:cs="Arial"/>
          <w:color w:val="000000"/>
          <w:sz w:val="22"/>
          <w:szCs w:val="22"/>
        </w:rPr>
      </w:pPr>
      <w:r w:rsidRPr="00691695">
        <w:rPr>
          <w:rFonts w:ascii="Arial" w:eastAsia="Arial" w:hAnsi="Arial" w:cs="Arial"/>
          <w:sz w:val="22"/>
          <w:szCs w:val="22"/>
        </w:rPr>
        <w:t xml:space="preserve">Toliau plėtoti bendro </w:t>
      </w:r>
      <w:r w:rsidR="00047713" w:rsidRPr="00691695">
        <w:rPr>
          <w:rFonts w:ascii="Arial" w:eastAsia="Arial" w:hAnsi="Arial" w:cs="Arial"/>
          <w:sz w:val="22"/>
          <w:szCs w:val="22"/>
        </w:rPr>
        <w:t>dėstymo</w:t>
      </w:r>
      <w:r w:rsidRPr="00691695">
        <w:rPr>
          <w:rFonts w:ascii="Arial" w:eastAsia="Arial" w:hAnsi="Arial" w:cs="Arial"/>
          <w:sz w:val="22"/>
          <w:szCs w:val="22"/>
        </w:rPr>
        <w:t xml:space="preserve"> praktiką, kad daugiadisciplininis </w:t>
      </w:r>
      <w:r w:rsidR="00BD0902" w:rsidRPr="00691695">
        <w:rPr>
          <w:rFonts w:ascii="Arial" w:eastAsia="Arial" w:hAnsi="Arial" w:cs="Arial"/>
          <w:sz w:val="22"/>
          <w:szCs w:val="22"/>
        </w:rPr>
        <w:t>dėstymas</w:t>
      </w:r>
      <w:r w:rsidRPr="00691695">
        <w:rPr>
          <w:rFonts w:ascii="Arial" w:eastAsia="Arial" w:hAnsi="Arial" w:cs="Arial"/>
          <w:sz w:val="22"/>
          <w:szCs w:val="22"/>
        </w:rPr>
        <w:t xml:space="preserve"> taptų tarpdisciplininiu. </w:t>
      </w:r>
    </w:p>
    <w:p w14:paraId="2B46A7A9" w14:textId="77777777" w:rsidR="00291AB7" w:rsidRPr="00691695" w:rsidRDefault="00291AB7" w:rsidP="00691695">
      <w:pPr>
        <w:spacing w:after="200" w:line="276" w:lineRule="auto"/>
        <w:ind w:right="140"/>
        <w:jc w:val="both"/>
        <w:rPr>
          <w:rFonts w:ascii="Arial" w:eastAsia="Calibri" w:hAnsi="Arial" w:cs="Arial"/>
          <w:sz w:val="22"/>
          <w:szCs w:val="22"/>
          <w:lang w:val="en-GB" w:eastAsia="lt-LT"/>
        </w:rPr>
      </w:pPr>
      <w:r w:rsidRPr="00691695">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75CF06C6" w14:textId="77777777" w:rsidTr="00691695">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691695">
        <w:tc>
          <w:tcPr>
            <w:tcW w:w="1720"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72E89CA0" w14:textId="4387FC0C" w:rsidR="007E04D8" w:rsidRPr="002D0027" w:rsidRDefault="00FC756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r>
      <w:tr w:rsidR="007E04D8" w:rsidRPr="002D0027" w14:paraId="467A7BAB" w14:textId="77777777" w:rsidTr="00691695">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DAA4E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1AF5102E" w14:textId="52DD43F5" w:rsidR="007E04D8" w:rsidRPr="002D0027" w:rsidRDefault="00FC756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691695" w:rsidRDefault="002B65A0" w:rsidP="00691695">
      <w:pPr>
        <w:spacing w:line="276" w:lineRule="auto"/>
        <w:ind w:right="140"/>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51083942" w14:textId="77777777" w:rsidR="007E04D8" w:rsidRPr="00691695" w:rsidRDefault="007E04D8" w:rsidP="00691695">
      <w:pPr>
        <w:spacing w:line="276" w:lineRule="auto"/>
        <w:ind w:right="140"/>
        <w:rPr>
          <w:rFonts w:ascii="Arial" w:hAnsi="Arial" w:cs="Arial"/>
          <w:b/>
          <w:bCs/>
          <w:color w:val="136C73"/>
          <w:sz w:val="22"/>
          <w:szCs w:val="22"/>
          <w:lang w:eastAsia="lt-LT"/>
        </w:rPr>
      </w:pPr>
    </w:p>
    <w:p w14:paraId="220B10FC" w14:textId="582BEB6D" w:rsidR="00FC7568" w:rsidRPr="00691695" w:rsidRDefault="00FC7568" w:rsidP="00FD16A7">
      <w:pPr>
        <w:numPr>
          <w:ilvl w:val="0"/>
          <w:numId w:val="37"/>
        </w:numPr>
        <w:spacing w:line="276" w:lineRule="auto"/>
        <w:ind w:right="140"/>
        <w:jc w:val="both"/>
        <w:rPr>
          <w:sz w:val="22"/>
          <w:szCs w:val="22"/>
        </w:rPr>
      </w:pPr>
      <w:r w:rsidRPr="00691695">
        <w:rPr>
          <w:rFonts w:ascii="Arial" w:eastAsia="Arial" w:hAnsi="Arial" w:cs="Arial"/>
          <w:sz w:val="22"/>
          <w:szCs w:val="22"/>
        </w:rPr>
        <w:t>Universitete sukurta išskirtinė mokymosi aplinka su modernia įranga ir šiuolaikine</w:t>
      </w:r>
      <w:r w:rsidR="00FD16A7">
        <w:rPr>
          <w:rFonts w:ascii="Arial" w:eastAsia="Arial" w:hAnsi="Arial" w:cs="Arial"/>
          <w:sz w:val="22"/>
          <w:szCs w:val="22"/>
        </w:rPr>
        <w:t xml:space="preserve"> </w:t>
      </w:r>
      <w:r w:rsidRPr="00691695">
        <w:rPr>
          <w:rFonts w:ascii="Arial" w:eastAsia="Arial" w:hAnsi="Arial" w:cs="Arial"/>
          <w:sz w:val="22"/>
          <w:szCs w:val="22"/>
        </w:rPr>
        <w:t xml:space="preserve">infrastruktūra, kuri padeda tiek </w:t>
      </w:r>
      <w:r w:rsidR="00047713" w:rsidRPr="00691695">
        <w:rPr>
          <w:rFonts w:ascii="Arial" w:eastAsia="Arial" w:hAnsi="Arial" w:cs="Arial"/>
          <w:sz w:val="22"/>
          <w:szCs w:val="22"/>
        </w:rPr>
        <w:t>dėstymui</w:t>
      </w:r>
      <w:r w:rsidRPr="00691695">
        <w:rPr>
          <w:rFonts w:ascii="Arial" w:eastAsia="Arial" w:hAnsi="Arial" w:cs="Arial"/>
          <w:sz w:val="22"/>
          <w:szCs w:val="22"/>
        </w:rPr>
        <w:t>, tiek praktinia</w:t>
      </w:r>
      <w:r w:rsidR="00047713" w:rsidRPr="00691695">
        <w:rPr>
          <w:rFonts w:ascii="Arial" w:eastAsia="Arial" w:hAnsi="Arial" w:cs="Arial"/>
          <w:sz w:val="22"/>
          <w:szCs w:val="22"/>
        </w:rPr>
        <w:t>ms užsiėmimams</w:t>
      </w:r>
      <w:r w:rsidRPr="00691695">
        <w:rPr>
          <w:rFonts w:ascii="Arial" w:eastAsia="Arial" w:hAnsi="Arial" w:cs="Arial"/>
          <w:sz w:val="22"/>
          <w:szCs w:val="22"/>
        </w:rPr>
        <w:t>.</w:t>
      </w:r>
    </w:p>
    <w:p w14:paraId="1D975CC1" w14:textId="77777777" w:rsidR="00FC7568" w:rsidRPr="00691695" w:rsidRDefault="00FC7568" w:rsidP="00FD16A7">
      <w:pPr>
        <w:numPr>
          <w:ilvl w:val="0"/>
          <w:numId w:val="37"/>
        </w:numPr>
        <w:spacing w:line="276" w:lineRule="auto"/>
        <w:ind w:right="140"/>
        <w:jc w:val="both"/>
        <w:rPr>
          <w:sz w:val="22"/>
          <w:szCs w:val="22"/>
        </w:rPr>
      </w:pPr>
      <w:r w:rsidRPr="00691695">
        <w:rPr>
          <w:rFonts w:ascii="Arial" w:eastAsia="Arial" w:hAnsi="Arial" w:cs="Arial"/>
          <w:sz w:val="22"/>
          <w:szCs w:val="22"/>
        </w:rPr>
        <w:t>Fizinė ir skaitmeninė infrastruktūra sukurta taip, kad būtų pritaikyta visiems: neįgaliems naudotojams siūloma speciali programinė įranga, techninė įranga ir pritaikytos darbo vietos.</w:t>
      </w:r>
    </w:p>
    <w:p w14:paraId="52CE1D59" w14:textId="77777777" w:rsidR="00FC7568" w:rsidRPr="00691695" w:rsidRDefault="00FC7568" w:rsidP="00FD16A7">
      <w:pPr>
        <w:numPr>
          <w:ilvl w:val="0"/>
          <w:numId w:val="37"/>
        </w:numPr>
        <w:spacing w:line="276" w:lineRule="auto"/>
        <w:ind w:right="140"/>
        <w:jc w:val="both"/>
        <w:rPr>
          <w:sz w:val="22"/>
          <w:szCs w:val="22"/>
        </w:rPr>
      </w:pPr>
      <w:r w:rsidRPr="00691695">
        <w:rPr>
          <w:rFonts w:ascii="Arial" w:eastAsia="Arial" w:hAnsi="Arial" w:cs="Arial"/>
          <w:sz w:val="22"/>
          <w:szCs w:val="22"/>
        </w:rPr>
        <w:t>VDU naudojasi savo partnerių tinklu, kad galėtų pasiūlyti daugybę praktikos galimybių.</w:t>
      </w:r>
    </w:p>
    <w:p w14:paraId="64715D17" w14:textId="77777777" w:rsidR="007E04D8" w:rsidRPr="00691695" w:rsidRDefault="007E04D8" w:rsidP="00FD16A7">
      <w:pPr>
        <w:spacing w:line="276" w:lineRule="auto"/>
        <w:ind w:right="140"/>
        <w:jc w:val="both"/>
        <w:rPr>
          <w:rFonts w:ascii="Arial" w:hAnsi="Arial" w:cs="Arial"/>
          <w:b/>
          <w:bCs/>
          <w:color w:val="136C73"/>
          <w:sz w:val="22"/>
          <w:szCs w:val="22"/>
          <w:lang w:eastAsia="lt-LT"/>
        </w:rPr>
      </w:pPr>
    </w:p>
    <w:p w14:paraId="63DD5E3A" w14:textId="77777777" w:rsidR="00FC7568" w:rsidRPr="00691695" w:rsidRDefault="00FC7568" w:rsidP="00691695">
      <w:pPr>
        <w:spacing w:line="276" w:lineRule="auto"/>
        <w:ind w:right="140"/>
        <w:rPr>
          <w:rFonts w:ascii="Arial" w:hAnsi="Arial" w:cs="Arial"/>
          <w:b/>
          <w:bCs/>
          <w:color w:val="5B0009"/>
          <w:sz w:val="22"/>
          <w:szCs w:val="22"/>
          <w:lang w:eastAsia="lt-LT"/>
        </w:rPr>
      </w:pPr>
    </w:p>
    <w:p w14:paraId="1F2F1B3F" w14:textId="77777777" w:rsidR="00FC7568" w:rsidRDefault="00FC7568" w:rsidP="00FD16A7">
      <w:pPr>
        <w:spacing w:line="276" w:lineRule="auto"/>
        <w:ind w:right="140"/>
        <w:rPr>
          <w:rFonts w:ascii="Arial" w:hAnsi="Arial" w:cs="Arial"/>
          <w:b/>
          <w:bCs/>
          <w:color w:val="5B0009"/>
          <w:sz w:val="22"/>
          <w:szCs w:val="22"/>
          <w:lang w:eastAsia="lt-LT"/>
        </w:rPr>
      </w:pPr>
    </w:p>
    <w:p w14:paraId="280F12EB" w14:textId="77777777" w:rsidR="00FC7568" w:rsidRDefault="00FC7568" w:rsidP="00CF1D8A">
      <w:pPr>
        <w:spacing w:line="276" w:lineRule="auto"/>
        <w:rPr>
          <w:rFonts w:ascii="Arial" w:hAnsi="Arial" w:cs="Arial"/>
          <w:b/>
          <w:bCs/>
          <w:color w:val="5B0009"/>
          <w:sz w:val="22"/>
          <w:szCs w:val="22"/>
          <w:lang w:eastAsia="lt-LT"/>
        </w:rPr>
      </w:pPr>
    </w:p>
    <w:p w14:paraId="1D67585D" w14:textId="77777777" w:rsidR="00FC7568" w:rsidRDefault="00FC7568" w:rsidP="00CF1D8A">
      <w:pPr>
        <w:spacing w:line="276" w:lineRule="auto"/>
        <w:rPr>
          <w:rFonts w:ascii="Arial" w:hAnsi="Arial" w:cs="Arial"/>
          <w:b/>
          <w:bCs/>
          <w:color w:val="5B0009"/>
          <w:sz w:val="22"/>
          <w:szCs w:val="22"/>
          <w:lang w:eastAsia="lt-LT"/>
        </w:rPr>
      </w:pPr>
    </w:p>
    <w:p w14:paraId="75AFC15E" w14:textId="77777777" w:rsidR="00FC7568" w:rsidRDefault="00FC7568" w:rsidP="00CF1D8A">
      <w:pPr>
        <w:spacing w:line="276" w:lineRule="auto"/>
        <w:rPr>
          <w:rFonts w:ascii="Arial" w:hAnsi="Arial" w:cs="Arial"/>
          <w:b/>
          <w:bCs/>
          <w:color w:val="5B0009"/>
          <w:sz w:val="22"/>
          <w:szCs w:val="22"/>
          <w:lang w:eastAsia="lt-LT"/>
        </w:rPr>
      </w:pPr>
    </w:p>
    <w:p w14:paraId="1D3B7D47" w14:textId="77777777" w:rsidR="00FC7568" w:rsidRDefault="00FC7568" w:rsidP="00CF1D8A">
      <w:pPr>
        <w:spacing w:line="276" w:lineRule="auto"/>
        <w:rPr>
          <w:rFonts w:ascii="Arial" w:hAnsi="Arial" w:cs="Arial"/>
          <w:b/>
          <w:bCs/>
          <w:color w:val="5B0009"/>
          <w:sz w:val="22"/>
          <w:szCs w:val="22"/>
          <w:lang w:eastAsia="lt-LT"/>
        </w:rPr>
      </w:pPr>
    </w:p>
    <w:p w14:paraId="0CF557AC" w14:textId="77777777" w:rsidR="00FC7568" w:rsidRDefault="00FC7568" w:rsidP="00CF1D8A">
      <w:pPr>
        <w:spacing w:line="276" w:lineRule="auto"/>
        <w:rPr>
          <w:rFonts w:ascii="Arial" w:hAnsi="Arial" w:cs="Arial"/>
          <w:b/>
          <w:bCs/>
          <w:color w:val="5B0009"/>
          <w:sz w:val="22"/>
          <w:szCs w:val="22"/>
          <w:lang w:eastAsia="lt-LT"/>
        </w:rPr>
      </w:pPr>
    </w:p>
    <w:p w14:paraId="63E43FB6" w14:textId="77777777" w:rsidR="00FC7568" w:rsidRDefault="00FC7568" w:rsidP="00CF1D8A">
      <w:pPr>
        <w:spacing w:line="276" w:lineRule="auto"/>
        <w:rPr>
          <w:rFonts w:ascii="Arial" w:hAnsi="Arial" w:cs="Arial"/>
          <w:b/>
          <w:bCs/>
          <w:color w:val="5B0009"/>
          <w:sz w:val="22"/>
          <w:szCs w:val="22"/>
          <w:lang w:eastAsia="lt-LT"/>
        </w:rPr>
      </w:pPr>
    </w:p>
    <w:p w14:paraId="620E2088" w14:textId="77777777" w:rsidR="00FC7568" w:rsidRDefault="00FC7568" w:rsidP="00CF1D8A">
      <w:pPr>
        <w:spacing w:line="276" w:lineRule="auto"/>
        <w:rPr>
          <w:rFonts w:ascii="Arial" w:hAnsi="Arial" w:cs="Arial"/>
          <w:b/>
          <w:bCs/>
          <w:color w:val="5B0009"/>
          <w:sz w:val="22"/>
          <w:szCs w:val="22"/>
          <w:lang w:eastAsia="lt-LT"/>
        </w:rPr>
      </w:pPr>
    </w:p>
    <w:p w14:paraId="333F67EB" w14:textId="77777777" w:rsidR="00FC7568" w:rsidRDefault="00FC7568" w:rsidP="00CF1D8A">
      <w:pPr>
        <w:spacing w:line="276" w:lineRule="auto"/>
        <w:rPr>
          <w:rFonts w:ascii="Arial" w:hAnsi="Arial" w:cs="Arial"/>
          <w:b/>
          <w:bCs/>
          <w:color w:val="5B0009"/>
          <w:sz w:val="22"/>
          <w:szCs w:val="22"/>
          <w:lang w:eastAsia="lt-LT"/>
        </w:rPr>
      </w:pPr>
    </w:p>
    <w:p w14:paraId="7F6E9D1E" w14:textId="77777777" w:rsidR="00FC7568" w:rsidRDefault="00FC7568" w:rsidP="00CF1D8A">
      <w:pPr>
        <w:spacing w:line="276" w:lineRule="auto"/>
        <w:rPr>
          <w:rFonts w:ascii="Arial" w:hAnsi="Arial" w:cs="Arial"/>
          <w:b/>
          <w:bCs/>
          <w:color w:val="5B0009"/>
          <w:sz w:val="22"/>
          <w:szCs w:val="22"/>
          <w:lang w:eastAsia="lt-LT"/>
        </w:rPr>
      </w:pPr>
    </w:p>
    <w:p w14:paraId="64755A47" w14:textId="77777777" w:rsidR="00FC7568" w:rsidRDefault="00FC7568" w:rsidP="00CF1D8A">
      <w:pPr>
        <w:spacing w:line="276" w:lineRule="auto"/>
        <w:rPr>
          <w:rFonts w:ascii="Arial" w:hAnsi="Arial" w:cs="Arial"/>
          <w:b/>
          <w:bCs/>
          <w:color w:val="5B0009"/>
          <w:sz w:val="22"/>
          <w:szCs w:val="22"/>
          <w:lang w:eastAsia="lt-LT"/>
        </w:rPr>
      </w:pPr>
    </w:p>
    <w:p w14:paraId="195285B5" w14:textId="77777777" w:rsidR="00FC7568" w:rsidRDefault="00FC7568" w:rsidP="00CF1D8A">
      <w:pPr>
        <w:spacing w:line="276" w:lineRule="auto"/>
        <w:rPr>
          <w:rFonts w:ascii="Arial" w:hAnsi="Arial" w:cs="Arial"/>
          <w:b/>
          <w:bCs/>
          <w:color w:val="5B0009"/>
          <w:sz w:val="22"/>
          <w:szCs w:val="22"/>
          <w:lang w:eastAsia="lt-LT"/>
        </w:rPr>
      </w:pPr>
    </w:p>
    <w:p w14:paraId="6BBDD2E3" w14:textId="77777777" w:rsidR="00FC7568" w:rsidRDefault="00FC7568" w:rsidP="00CF1D8A">
      <w:pPr>
        <w:spacing w:line="276" w:lineRule="auto"/>
        <w:rPr>
          <w:rFonts w:ascii="Arial" w:hAnsi="Arial" w:cs="Arial"/>
          <w:b/>
          <w:bCs/>
          <w:color w:val="5B0009"/>
          <w:sz w:val="22"/>
          <w:szCs w:val="22"/>
          <w:lang w:eastAsia="lt-LT"/>
        </w:rPr>
      </w:pPr>
    </w:p>
    <w:p w14:paraId="5D09C8C5" w14:textId="77777777" w:rsidR="00FC7568" w:rsidRDefault="00FC7568" w:rsidP="00CF1D8A">
      <w:pPr>
        <w:spacing w:line="276" w:lineRule="auto"/>
        <w:rPr>
          <w:rFonts w:ascii="Arial" w:hAnsi="Arial" w:cs="Arial"/>
          <w:b/>
          <w:bCs/>
          <w:color w:val="5B0009"/>
          <w:sz w:val="22"/>
          <w:szCs w:val="22"/>
          <w:lang w:eastAsia="lt-LT"/>
        </w:rPr>
      </w:pPr>
    </w:p>
    <w:p w14:paraId="4324591B" w14:textId="77777777" w:rsidR="00FC7568" w:rsidRDefault="00FC7568" w:rsidP="00CF1D8A">
      <w:pPr>
        <w:spacing w:line="276" w:lineRule="auto"/>
        <w:rPr>
          <w:rFonts w:ascii="Arial" w:hAnsi="Arial" w:cs="Arial"/>
          <w:b/>
          <w:bCs/>
          <w:color w:val="5B0009"/>
          <w:sz w:val="22"/>
          <w:szCs w:val="22"/>
          <w:lang w:eastAsia="lt-LT"/>
        </w:rPr>
      </w:pPr>
    </w:p>
    <w:p w14:paraId="6624085F" w14:textId="77777777" w:rsidR="00FC7568" w:rsidRDefault="00FC7568" w:rsidP="00CF1D8A">
      <w:pPr>
        <w:spacing w:line="276" w:lineRule="auto"/>
        <w:rPr>
          <w:rFonts w:ascii="Arial" w:hAnsi="Arial" w:cs="Arial"/>
          <w:b/>
          <w:bCs/>
          <w:color w:val="5B0009"/>
          <w:sz w:val="22"/>
          <w:szCs w:val="22"/>
          <w:lang w:eastAsia="lt-LT"/>
        </w:rPr>
      </w:pPr>
    </w:p>
    <w:p w14:paraId="2E904D16" w14:textId="77777777" w:rsidR="00315B5C" w:rsidRDefault="00315B5C" w:rsidP="00CF1D8A">
      <w:pPr>
        <w:spacing w:line="276" w:lineRule="auto"/>
        <w:rPr>
          <w:rFonts w:ascii="Arial" w:hAnsi="Arial" w:cs="Arial"/>
          <w:b/>
          <w:bCs/>
          <w:color w:val="5B0009"/>
          <w:sz w:val="22"/>
          <w:szCs w:val="22"/>
          <w:lang w:eastAsia="lt-LT"/>
        </w:rPr>
      </w:pPr>
    </w:p>
    <w:p w14:paraId="5FCD6D23" w14:textId="77777777" w:rsidR="00315B5C" w:rsidRDefault="00315B5C" w:rsidP="00CF1D8A">
      <w:pPr>
        <w:spacing w:line="276" w:lineRule="auto"/>
        <w:rPr>
          <w:rFonts w:ascii="Arial" w:hAnsi="Arial" w:cs="Arial"/>
          <w:b/>
          <w:bCs/>
          <w:color w:val="5B0009"/>
          <w:sz w:val="22"/>
          <w:szCs w:val="22"/>
          <w:lang w:eastAsia="lt-LT"/>
        </w:rPr>
      </w:pPr>
    </w:p>
    <w:p w14:paraId="5724CDF2" w14:textId="77777777" w:rsidR="00315B5C" w:rsidRDefault="00315B5C" w:rsidP="00CF1D8A">
      <w:pPr>
        <w:spacing w:line="276" w:lineRule="auto"/>
        <w:rPr>
          <w:rFonts w:ascii="Arial" w:hAnsi="Arial" w:cs="Arial"/>
          <w:b/>
          <w:bCs/>
          <w:color w:val="5B0009"/>
          <w:sz w:val="22"/>
          <w:szCs w:val="22"/>
          <w:lang w:eastAsia="lt-LT"/>
        </w:rPr>
      </w:pPr>
    </w:p>
    <w:p w14:paraId="411669F3" w14:textId="77777777" w:rsidR="00FC7568" w:rsidRDefault="00FC7568" w:rsidP="00CF1D8A">
      <w:pPr>
        <w:spacing w:line="276" w:lineRule="auto"/>
        <w:rPr>
          <w:rFonts w:ascii="Arial" w:hAnsi="Arial" w:cs="Arial"/>
          <w:b/>
          <w:bCs/>
          <w:color w:val="5B0009"/>
          <w:sz w:val="22"/>
          <w:szCs w:val="22"/>
          <w:lang w:eastAsia="lt-LT"/>
        </w:rPr>
      </w:pPr>
    </w:p>
    <w:p w14:paraId="47C245DD" w14:textId="77777777" w:rsidR="00FC7568" w:rsidRDefault="00FC7568" w:rsidP="00CF1D8A">
      <w:pPr>
        <w:spacing w:line="276" w:lineRule="auto"/>
        <w:rPr>
          <w:rFonts w:ascii="Arial" w:hAnsi="Arial" w:cs="Arial"/>
          <w:b/>
          <w:bCs/>
          <w:color w:val="5B0009"/>
          <w:sz w:val="22"/>
          <w:szCs w:val="22"/>
          <w:lang w:eastAsia="lt-LT"/>
        </w:rPr>
      </w:pPr>
    </w:p>
    <w:p w14:paraId="10103FA4" w14:textId="77777777" w:rsidR="00FC7568" w:rsidRDefault="00FC7568" w:rsidP="00CF1D8A">
      <w:pPr>
        <w:spacing w:line="276" w:lineRule="auto"/>
        <w:rPr>
          <w:rFonts w:ascii="Arial" w:hAnsi="Arial" w:cs="Arial"/>
          <w:b/>
          <w:bCs/>
          <w:color w:val="5B0009"/>
          <w:sz w:val="22"/>
          <w:szCs w:val="22"/>
          <w:lang w:eastAsia="lt-LT"/>
        </w:rPr>
      </w:pPr>
    </w:p>
    <w:p w14:paraId="1D8D7692" w14:textId="77777777" w:rsidR="00FC7568" w:rsidRDefault="00FC7568" w:rsidP="00CF1D8A">
      <w:pPr>
        <w:spacing w:line="276" w:lineRule="auto"/>
        <w:rPr>
          <w:rFonts w:ascii="Arial" w:hAnsi="Arial" w:cs="Arial"/>
          <w:b/>
          <w:bCs/>
          <w:color w:val="5B0009"/>
          <w:sz w:val="22"/>
          <w:szCs w:val="22"/>
          <w:lang w:eastAsia="lt-LT"/>
        </w:rPr>
      </w:pPr>
    </w:p>
    <w:p w14:paraId="4B69EEFD" w14:textId="77777777" w:rsidR="00FC7568" w:rsidRDefault="00FC7568" w:rsidP="00CF1D8A">
      <w:pPr>
        <w:spacing w:line="276" w:lineRule="auto"/>
        <w:rPr>
          <w:rFonts w:ascii="Arial" w:hAnsi="Arial" w:cs="Arial"/>
          <w:b/>
          <w:bCs/>
          <w:color w:val="5B0009"/>
          <w:sz w:val="22"/>
          <w:szCs w:val="22"/>
          <w:lang w:eastAsia="lt-LT"/>
        </w:rPr>
      </w:pPr>
    </w:p>
    <w:p w14:paraId="03F81AB5" w14:textId="77777777" w:rsidR="00FC7568" w:rsidRDefault="00FC7568" w:rsidP="00CF1D8A">
      <w:pPr>
        <w:spacing w:line="276" w:lineRule="auto"/>
        <w:rPr>
          <w:rFonts w:ascii="Arial" w:hAnsi="Arial" w:cs="Arial"/>
          <w:b/>
          <w:bCs/>
          <w:color w:val="5B0009"/>
          <w:sz w:val="22"/>
          <w:szCs w:val="22"/>
          <w:lang w:eastAsia="lt-LT"/>
        </w:rPr>
      </w:pPr>
    </w:p>
    <w:p w14:paraId="126D4822" w14:textId="77777777" w:rsidR="00FC7568" w:rsidRDefault="00FC7568" w:rsidP="00CF1D8A">
      <w:pPr>
        <w:spacing w:line="276" w:lineRule="auto"/>
        <w:rPr>
          <w:rFonts w:ascii="Arial" w:hAnsi="Arial" w:cs="Arial"/>
          <w:b/>
          <w:bCs/>
          <w:color w:val="5B0009"/>
          <w:sz w:val="22"/>
          <w:szCs w:val="22"/>
          <w:lang w:eastAsia="lt-LT"/>
        </w:rPr>
      </w:pPr>
    </w:p>
    <w:p w14:paraId="3244D040" w14:textId="77777777" w:rsidR="00FD16A7" w:rsidRDefault="00FD16A7" w:rsidP="00CF1D8A">
      <w:pPr>
        <w:spacing w:line="276" w:lineRule="auto"/>
        <w:rPr>
          <w:rFonts w:ascii="Arial" w:hAnsi="Arial" w:cs="Arial"/>
          <w:b/>
          <w:bCs/>
          <w:color w:val="5B0009"/>
          <w:sz w:val="22"/>
          <w:szCs w:val="22"/>
          <w:lang w:eastAsia="lt-LT"/>
        </w:rPr>
      </w:pPr>
    </w:p>
    <w:p w14:paraId="25B0AF07" w14:textId="77777777" w:rsidR="0004747C" w:rsidRDefault="0004747C" w:rsidP="00CF1D8A">
      <w:pPr>
        <w:spacing w:line="276" w:lineRule="auto"/>
        <w:rPr>
          <w:rFonts w:ascii="Arial" w:hAnsi="Arial" w:cs="Arial"/>
          <w:b/>
          <w:bCs/>
          <w:color w:val="5B0009"/>
          <w:sz w:val="22"/>
          <w:szCs w:val="22"/>
          <w:lang w:eastAsia="lt-LT"/>
        </w:rPr>
      </w:pPr>
    </w:p>
    <w:p w14:paraId="730E39EF" w14:textId="77777777" w:rsidR="00FC7568" w:rsidRPr="00D44EA1" w:rsidRDefault="00FC7568" w:rsidP="00CF1D8A">
      <w:pPr>
        <w:spacing w:line="276" w:lineRule="auto"/>
        <w:rPr>
          <w:rFonts w:ascii="Arial" w:hAnsi="Arial" w:cs="Arial"/>
          <w:b/>
          <w:bCs/>
          <w:color w:val="5B0009"/>
          <w:sz w:val="22"/>
          <w:szCs w:val="22"/>
          <w:lang w:eastAsia="lt-LT"/>
        </w:rPr>
      </w:pP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381A50EE" w14:textId="77777777" w:rsidTr="00FD16A7">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FD16A7">
        <w:tc>
          <w:tcPr>
            <w:tcW w:w="1720"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424FE58" w14:textId="39FD8ED0" w:rsidR="007E04D8" w:rsidRPr="002D0027" w:rsidRDefault="00315B5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FD16A7">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1C79B3F" w14:textId="4F5C897E" w:rsidR="007E04D8" w:rsidRPr="002D0027" w:rsidRDefault="00315B5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FD16A7" w:rsidRDefault="002B65A0" w:rsidP="00FD16A7">
      <w:pPr>
        <w:spacing w:line="276" w:lineRule="auto"/>
        <w:ind w:right="140"/>
        <w:jc w:val="both"/>
        <w:rPr>
          <w:rFonts w:ascii="Arial" w:hAnsi="Arial" w:cs="Arial"/>
          <w:b/>
          <w:bCs/>
          <w:iCs/>
          <w:color w:val="5B0009"/>
          <w:sz w:val="22"/>
          <w:szCs w:val="22"/>
          <w:lang w:eastAsia="lt-LT"/>
        </w:rPr>
      </w:pPr>
      <w:r w:rsidRPr="00FD16A7">
        <w:rPr>
          <w:rFonts w:ascii="Arial" w:hAnsi="Arial" w:cs="Arial"/>
          <w:b/>
          <w:bCs/>
          <w:iCs/>
          <w:color w:val="5B0009"/>
          <w:sz w:val="22"/>
          <w:szCs w:val="22"/>
          <w:lang w:eastAsia="lt-LT"/>
        </w:rPr>
        <w:t>PAGIRTINI ASPEKTAI</w:t>
      </w:r>
    </w:p>
    <w:p w14:paraId="3AA33421" w14:textId="77777777" w:rsidR="007E04D8" w:rsidRPr="00FD16A7" w:rsidRDefault="007E04D8" w:rsidP="00FD16A7">
      <w:pPr>
        <w:spacing w:line="276" w:lineRule="auto"/>
        <w:ind w:right="140"/>
        <w:jc w:val="both"/>
        <w:rPr>
          <w:rFonts w:ascii="Arial" w:hAnsi="Arial" w:cs="Arial"/>
          <w:b/>
          <w:bCs/>
          <w:color w:val="136C73"/>
          <w:sz w:val="22"/>
          <w:szCs w:val="22"/>
          <w:lang w:eastAsia="lt-LT"/>
        </w:rPr>
      </w:pPr>
    </w:p>
    <w:p w14:paraId="1120B38F" w14:textId="77777777" w:rsidR="0024293E" w:rsidRPr="00FD16A7" w:rsidRDefault="0024293E" w:rsidP="00FD16A7">
      <w:pPr>
        <w:numPr>
          <w:ilvl w:val="0"/>
          <w:numId w:val="38"/>
        </w:numPr>
        <w:spacing w:line="276" w:lineRule="auto"/>
        <w:ind w:right="140"/>
        <w:jc w:val="both"/>
        <w:rPr>
          <w:rFonts w:ascii="Arial" w:eastAsia="Arial" w:hAnsi="Arial" w:cs="Arial"/>
          <w:sz w:val="22"/>
          <w:szCs w:val="22"/>
        </w:rPr>
      </w:pPr>
      <w:r w:rsidRPr="00FD16A7">
        <w:rPr>
          <w:rFonts w:ascii="Arial" w:eastAsia="Arial" w:hAnsi="Arial" w:cs="Arial"/>
          <w:sz w:val="22"/>
          <w:szCs w:val="22"/>
        </w:rPr>
        <w:t>Daug dėstytojų dalyvauja studijų programos komitete, užtikrinančiame platų vidinį kokybės užtikrinimą.</w:t>
      </w:r>
    </w:p>
    <w:p w14:paraId="2E954054" w14:textId="77777777" w:rsidR="0024293E" w:rsidRPr="00FD16A7" w:rsidRDefault="0024293E" w:rsidP="00FD16A7">
      <w:pPr>
        <w:numPr>
          <w:ilvl w:val="0"/>
          <w:numId w:val="38"/>
        </w:numPr>
        <w:spacing w:line="276" w:lineRule="auto"/>
        <w:ind w:right="140"/>
        <w:jc w:val="both"/>
        <w:rPr>
          <w:rFonts w:ascii="Arial" w:eastAsia="Arial" w:hAnsi="Arial" w:cs="Arial"/>
          <w:sz w:val="22"/>
          <w:szCs w:val="22"/>
        </w:rPr>
      </w:pPr>
      <w:r w:rsidRPr="00FD16A7">
        <w:rPr>
          <w:rFonts w:ascii="Arial" w:eastAsia="Arial" w:hAnsi="Arial" w:cs="Arial"/>
          <w:sz w:val="22"/>
          <w:szCs w:val="22"/>
        </w:rPr>
        <w:t>Kokybės užtikrinimo sistema reaguoja į studentų ir socialinių partnerių poreikius.</w:t>
      </w:r>
    </w:p>
    <w:p w14:paraId="65B6A7AA" w14:textId="27467D55" w:rsidR="007E04D8" w:rsidRPr="00FD16A7" w:rsidRDefault="0024293E" w:rsidP="00FD16A7">
      <w:pPr>
        <w:numPr>
          <w:ilvl w:val="0"/>
          <w:numId w:val="38"/>
        </w:numPr>
        <w:spacing w:after="240" w:line="276" w:lineRule="auto"/>
        <w:ind w:right="140"/>
        <w:jc w:val="both"/>
        <w:rPr>
          <w:rFonts w:ascii="Arial" w:eastAsia="Arial" w:hAnsi="Arial" w:cs="Arial"/>
          <w:sz w:val="22"/>
          <w:szCs w:val="22"/>
        </w:rPr>
      </w:pPr>
      <w:r w:rsidRPr="00FD16A7">
        <w:rPr>
          <w:rFonts w:ascii="Arial" w:eastAsia="Arial" w:hAnsi="Arial" w:cs="Arial"/>
          <w:sz w:val="22"/>
          <w:szCs w:val="22"/>
        </w:rPr>
        <w:t>Politikos mokslų programos įvertintos labai gerai ir rodo aukštą studentų pasitenkinimo lygį.</w:t>
      </w:r>
    </w:p>
    <w:p w14:paraId="2B4B1201" w14:textId="77777777" w:rsidR="007E04D8" w:rsidRPr="00FD16A7" w:rsidRDefault="007E04D8" w:rsidP="00FD16A7">
      <w:pPr>
        <w:spacing w:line="276" w:lineRule="auto"/>
        <w:ind w:right="140"/>
        <w:jc w:val="both"/>
        <w:rPr>
          <w:rFonts w:ascii="Arial" w:hAnsi="Arial" w:cs="Arial"/>
          <w:b/>
          <w:bCs/>
          <w:color w:val="136C73"/>
          <w:sz w:val="22"/>
          <w:szCs w:val="22"/>
          <w:lang w:eastAsia="lt-LT"/>
        </w:rPr>
      </w:pPr>
      <w:r w:rsidRPr="00FD16A7">
        <w:rPr>
          <w:rFonts w:ascii="Arial" w:hAnsi="Arial" w:cs="Arial"/>
          <w:b/>
          <w:bCs/>
          <w:color w:val="5B0009"/>
          <w:sz w:val="22"/>
          <w:szCs w:val="22"/>
          <w:lang w:eastAsia="lt-LT"/>
        </w:rPr>
        <w:t>REKOMENDACIJOS</w:t>
      </w:r>
    </w:p>
    <w:p w14:paraId="0C7D9D32" w14:textId="77777777" w:rsidR="007E04D8" w:rsidRPr="00FD16A7" w:rsidRDefault="007E04D8" w:rsidP="00FD16A7">
      <w:pPr>
        <w:tabs>
          <w:tab w:val="left" w:pos="1298"/>
          <w:tab w:val="left" w:pos="1985"/>
        </w:tabs>
        <w:spacing w:line="276" w:lineRule="auto"/>
        <w:ind w:right="140"/>
        <w:jc w:val="both"/>
        <w:rPr>
          <w:rFonts w:ascii="Arial" w:eastAsia="Calibri" w:hAnsi="Arial" w:cs="Arial"/>
          <w:iCs/>
          <w:sz w:val="22"/>
          <w:szCs w:val="22"/>
          <w:lang w:eastAsia="lt-LT"/>
        </w:rPr>
      </w:pPr>
    </w:p>
    <w:p w14:paraId="4A043A0A" w14:textId="68D34824" w:rsidR="007E04D8" w:rsidRPr="00FD16A7" w:rsidRDefault="00DE3287" w:rsidP="00FD16A7">
      <w:pPr>
        <w:tabs>
          <w:tab w:val="left" w:pos="1298"/>
          <w:tab w:val="left" w:pos="1985"/>
        </w:tabs>
        <w:spacing w:line="276" w:lineRule="auto"/>
        <w:ind w:right="140"/>
        <w:jc w:val="both"/>
        <w:rPr>
          <w:rFonts w:ascii="Arial" w:eastAsia="Calibri" w:hAnsi="Arial" w:cs="Arial"/>
          <w:iCs/>
          <w:color w:val="5B0009"/>
          <w:sz w:val="22"/>
          <w:szCs w:val="22"/>
          <w:lang w:eastAsia="lt-LT"/>
        </w:rPr>
      </w:pPr>
      <w:r w:rsidRPr="00FD16A7">
        <w:rPr>
          <w:rFonts w:ascii="Arial" w:eastAsia="Calibri" w:hAnsi="Arial" w:cs="Arial"/>
          <w:iCs/>
          <w:color w:val="5B0009"/>
          <w:sz w:val="22"/>
          <w:szCs w:val="22"/>
          <w:lang w:eastAsia="lt-LT"/>
        </w:rPr>
        <w:t>Tolesniam</w:t>
      </w:r>
      <w:r w:rsidR="007E04D8" w:rsidRPr="00FD16A7">
        <w:rPr>
          <w:rFonts w:ascii="Arial" w:eastAsia="Calibri" w:hAnsi="Arial" w:cs="Arial"/>
          <w:iCs/>
          <w:color w:val="5B0009"/>
          <w:sz w:val="22"/>
          <w:szCs w:val="22"/>
          <w:lang w:eastAsia="lt-LT"/>
        </w:rPr>
        <w:t xml:space="preserve"> tobulėjimui</w:t>
      </w:r>
    </w:p>
    <w:p w14:paraId="1F337849" w14:textId="77777777" w:rsidR="007E04D8" w:rsidRPr="00FD16A7" w:rsidRDefault="007E04D8" w:rsidP="00FD16A7">
      <w:pPr>
        <w:tabs>
          <w:tab w:val="left" w:pos="1298"/>
          <w:tab w:val="left" w:pos="1985"/>
        </w:tabs>
        <w:spacing w:line="276" w:lineRule="auto"/>
        <w:ind w:right="140"/>
        <w:jc w:val="both"/>
        <w:rPr>
          <w:rFonts w:ascii="Arial" w:eastAsia="Calibri" w:hAnsi="Arial" w:cs="Arial"/>
          <w:iCs/>
          <w:sz w:val="22"/>
          <w:szCs w:val="22"/>
          <w:lang w:eastAsia="lt-LT"/>
        </w:rPr>
      </w:pPr>
    </w:p>
    <w:p w14:paraId="6511EF94" w14:textId="77777777" w:rsidR="00CA30E1" w:rsidRPr="00FD16A7" w:rsidRDefault="00CA30E1" w:rsidP="00FD16A7">
      <w:pPr>
        <w:numPr>
          <w:ilvl w:val="0"/>
          <w:numId w:val="39"/>
        </w:numPr>
        <w:spacing w:line="276" w:lineRule="auto"/>
        <w:ind w:right="140"/>
        <w:jc w:val="both"/>
        <w:rPr>
          <w:rFonts w:ascii="Arial" w:eastAsia="Arial" w:hAnsi="Arial" w:cs="Arial"/>
          <w:sz w:val="22"/>
          <w:szCs w:val="22"/>
        </w:rPr>
      </w:pPr>
      <w:r w:rsidRPr="00FD16A7">
        <w:rPr>
          <w:rFonts w:ascii="Arial" w:eastAsia="Arial" w:hAnsi="Arial" w:cs="Arial"/>
          <w:sz w:val="22"/>
          <w:szCs w:val="22"/>
        </w:rPr>
        <w:t>Dalyvavimas apklausose įvairiose VDU politikos mokslų programose skiriasi. Šią problemą būtų galima spręsti įvedant nedidelius atlygius už dalyvavimą arba glaudžiai bendradarbiaujant su studentų asociacijomis.</w:t>
      </w:r>
    </w:p>
    <w:p w14:paraId="7C20EC6F" w14:textId="77777777" w:rsidR="00CA30E1" w:rsidRPr="00FD16A7" w:rsidRDefault="00CA30E1" w:rsidP="00FD16A7">
      <w:pPr>
        <w:numPr>
          <w:ilvl w:val="0"/>
          <w:numId w:val="39"/>
        </w:numPr>
        <w:spacing w:line="276" w:lineRule="auto"/>
        <w:ind w:right="140"/>
        <w:jc w:val="both"/>
        <w:rPr>
          <w:rFonts w:ascii="Arial" w:eastAsia="Arial" w:hAnsi="Arial" w:cs="Arial"/>
          <w:sz w:val="22"/>
          <w:szCs w:val="22"/>
        </w:rPr>
      </w:pPr>
      <w:r w:rsidRPr="00FD16A7">
        <w:rPr>
          <w:rFonts w:ascii="Arial" w:eastAsia="Arial" w:hAnsi="Arial" w:cs="Arial"/>
          <w:sz w:val="22"/>
          <w:szCs w:val="22"/>
        </w:rPr>
        <w:t>Strateginis absolventų dalyvavimas galėtų būti pagerintas pasiūlant strategiškesnius ryšius, įtraukiant juos į kai kuriuos su programomis susijusius mokslinius tyrimus.</w:t>
      </w:r>
    </w:p>
    <w:p w14:paraId="161B5F34" w14:textId="77777777" w:rsidR="00CA30E1" w:rsidRPr="00FD16A7" w:rsidRDefault="00CA30E1" w:rsidP="00FD16A7">
      <w:pPr>
        <w:numPr>
          <w:ilvl w:val="0"/>
          <w:numId w:val="39"/>
        </w:numPr>
        <w:spacing w:line="276" w:lineRule="auto"/>
        <w:ind w:right="140"/>
        <w:jc w:val="both"/>
        <w:rPr>
          <w:rFonts w:ascii="Arial" w:eastAsia="Arial" w:hAnsi="Arial" w:cs="Arial"/>
          <w:sz w:val="22"/>
          <w:szCs w:val="22"/>
        </w:rPr>
      </w:pPr>
      <w:r w:rsidRPr="00FD16A7">
        <w:rPr>
          <w:rFonts w:ascii="Arial" w:eastAsia="Arial" w:hAnsi="Arial" w:cs="Arial"/>
          <w:sz w:val="22"/>
          <w:szCs w:val="22"/>
        </w:rPr>
        <w:t>Neformalus (žodinis, klasėje) tarpinis vertinimas galėtų būti įvestas siekiant įgyvendinti kurso lygio patobulinimus "kelyje".</w:t>
      </w:r>
    </w:p>
    <w:p w14:paraId="3320118D" w14:textId="77777777" w:rsidR="00CA30E1" w:rsidRPr="00FD16A7" w:rsidRDefault="00CA30E1" w:rsidP="00FD16A7">
      <w:pPr>
        <w:numPr>
          <w:ilvl w:val="0"/>
          <w:numId w:val="39"/>
        </w:numPr>
        <w:spacing w:after="240" w:line="276" w:lineRule="auto"/>
        <w:ind w:right="140"/>
        <w:jc w:val="both"/>
        <w:rPr>
          <w:rFonts w:ascii="Arial" w:eastAsia="Arial" w:hAnsi="Arial" w:cs="Arial"/>
          <w:sz w:val="22"/>
          <w:szCs w:val="22"/>
        </w:rPr>
      </w:pPr>
      <w:r w:rsidRPr="00FD16A7">
        <w:rPr>
          <w:rFonts w:ascii="Arial" w:eastAsia="Arial" w:hAnsi="Arial" w:cs="Arial"/>
          <w:sz w:val="22"/>
          <w:szCs w:val="22"/>
        </w:rPr>
        <w:t>Sukurti sistemingus "studijų barometrus", kad būtų galima rinkti išsamius duomenis per tam tikrą laiką.</w:t>
      </w:r>
    </w:p>
    <w:p w14:paraId="6D4DFD79" w14:textId="77777777" w:rsidR="00291AB7" w:rsidRPr="002D0027" w:rsidRDefault="00291AB7" w:rsidP="00FD16A7">
      <w:pPr>
        <w:spacing w:line="276" w:lineRule="auto"/>
        <w:ind w:right="140"/>
        <w:jc w:val="both"/>
        <w:rPr>
          <w:rFonts w:ascii="Arial" w:eastAsia="Calibri" w:hAnsi="Arial" w:cs="Arial"/>
          <w:lang w:val="en-GB" w:eastAsia="lt-LT"/>
        </w:rPr>
      </w:pPr>
      <w:r w:rsidRPr="00FD16A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02411F61" w14:textId="77777777"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VDU pirmosios ir antrosios pakopos politikos mokslų programose ekspertų grupė nustatė, kad visos vertinimo sritys buvo plėtojamos sistemingai, laikantis teisinių reikalavimų ir suderintos tiek su akademinio mokymo poreikiais, tiek su darbo rinkos poreikiais. Ekspertų grupė pažymėjo, kad buvo atsižvelgta į ankstesnio vertinimo rekomendacijas, o prireikus imtasi taisomųjų veiksmų. Nors vertinime išryškėja kelios stipriosios pusės, jame taip pat nurodytos sritys, kurias reikia strategiškai tobulinti.</w:t>
      </w:r>
    </w:p>
    <w:p w14:paraId="175D77ED" w14:textId="58832653"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 xml:space="preserve">VDU išlaiko stiprų regioninį identitetą, puoselėja gerus santykius su socialiniais partneriais ir gerai dera su nacionalinėmis aukštojo mokslo strategijomis. Nors VDU programomis siekiama suteikti studentams reikiamų žinių ir įgūdžių, reikia tobulinti kompetencijų formulavimą ir vertinimą. Trijų bakalauro programų sujungimas į vieną politikos studijų programą tebėra problema. Ekspertų grupei nebuvo aiškiai pranešta apie šio pertvarkymo priežastis, o dėstytojai ir administracija pateikė nenuoseklius atsakymus dėl būsimo programų sujungimo. Tai rodo, kad reikia geriau suderinti </w:t>
      </w:r>
      <w:r w:rsidR="00BD0902" w:rsidRPr="00FD16A7">
        <w:rPr>
          <w:rFonts w:ascii="Arial" w:eastAsia="Arial" w:hAnsi="Arial" w:cs="Arial"/>
          <w:sz w:val="22"/>
          <w:szCs w:val="22"/>
        </w:rPr>
        <w:t>studijų</w:t>
      </w:r>
      <w:r w:rsidRPr="00FD16A7">
        <w:rPr>
          <w:rFonts w:ascii="Arial" w:eastAsia="Arial" w:hAnsi="Arial" w:cs="Arial"/>
          <w:sz w:val="22"/>
          <w:szCs w:val="22"/>
        </w:rPr>
        <w:t xml:space="preserve"> rezultatus ir </w:t>
      </w:r>
      <w:r w:rsidR="00BD0902" w:rsidRPr="00FD16A7">
        <w:rPr>
          <w:rFonts w:ascii="Arial" w:eastAsia="Arial" w:hAnsi="Arial" w:cs="Arial"/>
          <w:sz w:val="22"/>
          <w:szCs w:val="22"/>
        </w:rPr>
        <w:t>dėstymo</w:t>
      </w:r>
      <w:r w:rsidRPr="00FD16A7">
        <w:rPr>
          <w:rFonts w:ascii="Arial" w:eastAsia="Arial" w:hAnsi="Arial" w:cs="Arial"/>
          <w:sz w:val="22"/>
          <w:szCs w:val="22"/>
        </w:rPr>
        <w:t xml:space="preserve"> metodus. Be to, studentai pranešė apie nuolatinius </w:t>
      </w:r>
      <w:r w:rsidR="00BD0902" w:rsidRPr="00FD16A7">
        <w:rPr>
          <w:rFonts w:ascii="Arial" w:eastAsia="Arial" w:hAnsi="Arial" w:cs="Arial"/>
          <w:sz w:val="22"/>
          <w:szCs w:val="22"/>
        </w:rPr>
        <w:t>studijų</w:t>
      </w:r>
      <w:r w:rsidRPr="00FD16A7">
        <w:rPr>
          <w:rFonts w:ascii="Arial" w:eastAsia="Arial" w:hAnsi="Arial" w:cs="Arial"/>
          <w:sz w:val="22"/>
          <w:szCs w:val="22"/>
        </w:rPr>
        <w:t xml:space="preserve"> programų pakeitimus, todėl kyla susirūpinimas dėl programų stabilumo. Kyla pavojus, kad ankstesnių programų, tokių kaip Tarptautiniai santykiai ir Pasaulio politika, pagrindinės stiprybės bus susilpnintos.</w:t>
      </w:r>
    </w:p>
    <w:p w14:paraId="77CE6E9A" w14:textId="14C1C73F"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 xml:space="preserve">Antrosios pakopos studijose fakulteto kompetencija viešojo administravimo srityje yra labai stipri ir turi didelį potencialą tolesnei plėtrai. Tačiau reikėtų peržiūrėti programų </w:t>
      </w:r>
      <w:r w:rsidR="00BD0902" w:rsidRPr="00FD16A7">
        <w:rPr>
          <w:rFonts w:ascii="Arial" w:eastAsia="Arial" w:hAnsi="Arial" w:cs="Arial"/>
          <w:sz w:val="22"/>
          <w:szCs w:val="22"/>
        </w:rPr>
        <w:t>studijų</w:t>
      </w:r>
      <w:r w:rsidRPr="00FD16A7">
        <w:rPr>
          <w:rFonts w:ascii="Arial" w:eastAsia="Arial" w:hAnsi="Arial" w:cs="Arial"/>
          <w:sz w:val="22"/>
          <w:szCs w:val="22"/>
        </w:rPr>
        <w:t xml:space="preserve"> rezultatų ir kursų suderinamumą, kad būtų užtikrinta atitiktis strateginiams tikslams ir darbo rinkos poreikiams. Siekiant sukurti darnią akademinę aplinką ir kartu išlaikyti disciplininį identitetą, būtina gerinti komunikaciją tarp fakultetų ir aktyviau įtraukti dėstytojus į dėstymo portfelio formavimą. Be to, ekspertų grupė nustatė, kad programų matomumas internete yra menkas, o tai gali turėti įtakos jų patrauklumui būsimiems studentams.</w:t>
      </w:r>
    </w:p>
    <w:p w14:paraId="457600EE" w14:textId="77777777"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VDU politikos mokslų tyrimai veiksmingai sprendžia visuomenines problemas, o dėstytojai demonstruoja stiprią mokslinę produkciją. Tačiau dalyvavimas tarptautiniuose mokslinių tyrimų projektuose išlieka menkas ir stagnuoja. Nors dėstytojai dalyvauja mokslinių tyrimų klasteriuose, konferencijose ir publikacijose, studentų dalyvavimas moksliniuose tyrimuose išlieka nenuoseklus. Nors moksliniai tyrimai integruojami į dėstymą, studentų dalyvavimas nesistemingas. Ankstesniuose vertinimuose buvo pastebėtos panašios problemos, o aiškių patobulinimų nebuvo pastebėta. Reikia strateginio požiūrio, kad studentai aktyviau dalyvautų moksliniuose tyrimuose.</w:t>
      </w:r>
    </w:p>
    <w:p w14:paraId="5B0E9562" w14:textId="77777777"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Politikos mokslų studijų krypties pertvarka siekiama padidinti lankstumą ir patrauklumą, tačiau universiteto interneto svetainėje vis dar išlieka neaiškios specializacijos kryptys. Nors studentai gali naudotis plačiomis akademinio judumo galimybėmis, įskaitant "Erasmus+" programą, dalyvavimas mainų programose tebėra menkas. Daugeliui studentų sunku suderinti darbą ir studijas užsienyje, todėl šių problemų sprendimas, kartu pabrėžiant ilgalaikę judumo naudą, galėtų padėti padidinti dalyvavimą. VDU teikia stiprias paramos studentams paslaugas, įskaitant akademinį orientavimą, finansinę pagalbą, konsultavimą ir karjeros vystymą, taip skatindamas įtraukią akademinę aplinką.</w:t>
      </w:r>
    </w:p>
    <w:p w14:paraId="5985B228" w14:textId="44497B5B" w:rsidR="0004747C" w:rsidRPr="00FD16A7" w:rsidRDefault="00BD0902"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Dėstymo</w:t>
      </w:r>
      <w:r w:rsidR="0004747C" w:rsidRPr="00FD16A7">
        <w:rPr>
          <w:rFonts w:ascii="Arial" w:eastAsia="Arial" w:hAnsi="Arial" w:cs="Arial"/>
          <w:sz w:val="22"/>
          <w:szCs w:val="22"/>
        </w:rPr>
        <w:t xml:space="preserve"> ir </w:t>
      </w:r>
      <w:r w:rsidRPr="00FD16A7">
        <w:rPr>
          <w:rFonts w:ascii="Arial" w:eastAsia="Arial" w:hAnsi="Arial" w:cs="Arial"/>
          <w:sz w:val="22"/>
          <w:szCs w:val="22"/>
        </w:rPr>
        <w:t>studijų</w:t>
      </w:r>
      <w:r w:rsidR="0004747C" w:rsidRPr="00FD16A7">
        <w:rPr>
          <w:rFonts w:ascii="Arial" w:eastAsia="Arial" w:hAnsi="Arial" w:cs="Arial"/>
          <w:sz w:val="22"/>
          <w:szCs w:val="22"/>
        </w:rPr>
        <w:t xml:space="preserve"> metodai veiksmingai padeda siekti mokinių pasiekimų. Tačiau dėl didėjančio tarptautinių studentų skaičiaus ir politikos mokslų programų įvairovės kyla iššūkių, susijusių su </w:t>
      </w:r>
      <w:r w:rsidRPr="00FD16A7">
        <w:rPr>
          <w:rFonts w:ascii="Arial" w:eastAsia="Arial" w:hAnsi="Arial" w:cs="Arial"/>
          <w:sz w:val="22"/>
          <w:szCs w:val="22"/>
        </w:rPr>
        <w:t>dėstymo</w:t>
      </w:r>
      <w:r w:rsidR="0004747C" w:rsidRPr="00FD16A7">
        <w:rPr>
          <w:rFonts w:ascii="Arial" w:eastAsia="Arial" w:hAnsi="Arial" w:cs="Arial"/>
          <w:sz w:val="22"/>
          <w:szCs w:val="22"/>
        </w:rPr>
        <w:t xml:space="preserve"> metodų pritaikymu. Sunkumų kyla ir dėl praktikos galimybių, ypač dėl savalaikės informacijos sklaidos, kurią reikia tobulinti, kad ji būtų prieinamesnė. Nors parama socialiai pažeidžiamiems ir specialiųjų poreikių turintiems studentams yra didelė, užtikrinti vienodas galimybes užsienio studentams tebėra iššūkis. Studentų pažangos stebėsenos ir grįžtamojo ryšio mechanizmai yra sistemingi, o pasitenkinimo lygis paprastai yra aukštas. Gerai stebimos absolventų įsidarbinimo galimybės, o darbdavių ir absolventų atsiliepimai apie kompetencijas yra teigiami, nors praktinius įgūdžius būtų galima dar labiau sustiprinti. Atsižvelgiant į didėjantį užsienio studentų skaičių, reikia tobulinti užsienio absolventų stebėseną. Karjeros orientavimo paslaugos, nors ir teikiamos, galėtų būti </w:t>
      </w:r>
      <w:r w:rsidR="0004747C" w:rsidRPr="00FD16A7">
        <w:rPr>
          <w:rFonts w:ascii="Arial" w:eastAsia="Arial" w:hAnsi="Arial" w:cs="Arial"/>
          <w:sz w:val="22"/>
          <w:szCs w:val="22"/>
        </w:rPr>
        <w:lastRenderedPageBreak/>
        <w:t>išsamesnės ir geriau išnaudoti absolventų tinklus. Akademinio sąžiningumo, tolerancijos ir nediskriminavimo politika įgyvendinama veiksmingai, pažeidimų neužfiksuota. Tačiau kartais buvo pastebėtas susirūpinimas dėl šališkumo parenkant baigiamųjų darbų temas. Apeliacijų ir skundų nagrinėjimo procesas yra skaidrus ir prieinamas.</w:t>
      </w:r>
    </w:p>
    <w:p w14:paraId="79109566" w14:textId="29DA2BBE"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 xml:space="preserve">VDU Politikos mokslų fakultetą sudaro aukštos kvalifikacijos akademikai, turintys didelę pedagoginę ir mokslinę patirtį. Fakultete išlaikoma pusiausvyra tarp etatinių tyrėjų ir neetatinių dėstytojų iš socialinių partnerių, užtikrinant tiek teorinį, tiek praktinį aspektą. Tarpdisciplininis bendradarbiavimas stiprina akademinę pasiūlą, o palankus studentų ir dėstytojų skaičiaus santykis sudaro sąlygas individualiam mentorystei, ypač diplominių darbų priežiūrai. Darbuotojų išlaikymas palaiko dinamišką akademinę aplinką, tačiau dėstytojų tarptautiškumas tebėra ribotas ir jį reikia tobulinti. Europos universitetų iniciatyva (Transform4Europe - T4EU) suteikia galimybę dalyvauti tarptautinėje veikloje, tačiau jos potencialas vis dar nepakankamai išnaudojamas. Akademiniai mainai skatina bendradarbiavimą mokslinių tyrimų srityje ir praturtina </w:t>
      </w:r>
      <w:r w:rsidR="00BD0902" w:rsidRPr="00FD16A7">
        <w:rPr>
          <w:rFonts w:ascii="Arial" w:eastAsia="Arial" w:hAnsi="Arial" w:cs="Arial"/>
          <w:sz w:val="22"/>
          <w:szCs w:val="22"/>
        </w:rPr>
        <w:t>studijų</w:t>
      </w:r>
      <w:r w:rsidRPr="00FD16A7">
        <w:rPr>
          <w:rFonts w:ascii="Arial" w:eastAsia="Arial" w:hAnsi="Arial" w:cs="Arial"/>
          <w:sz w:val="22"/>
          <w:szCs w:val="22"/>
        </w:rPr>
        <w:t xml:space="preserve"> programas, o užsienio akademinė veikla stiprina VDU tarptautinę reputaciją. Pastaruoju metu padaugėjo dėstytojų dalyvavimo tarptautinėje veikloje atvejų, o nuolatinis dėstytojų profesinis tobulėjimas skatinamas vertinimais, susiejant premijas ir atlyginimus su akademiniu augimu. Tačiau dėstytojų tarptautiškumo didinimui vis dar reikia skirti daugiau dėmesio.</w:t>
      </w:r>
    </w:p>
    <w:p w14:paraId="0C406757" w14:textId="77777777"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VDU suteikia puikias studijų sąlygas, įskaitant modernias fizines erdves, pažangias technologijas ir didelius akademinius išteklius, atitinkančius tiek nacionalinius, tiek tarptautinius standartus.</w:t>
      </w:r>
    </w:p>
    <w:p w14:paraId="1DC91CB2" w14:textId="77777777" w:rsidR="0004747C"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Studentai išreiškia bendrą pasitenkinimą politikos mokslų programomis. Tačiau dėl programų restruktūrizavimo reikia sukurti tvirtą vidinę kokybės užtikrinimo sistemą. Grįžtamoji informacija renkama daugiausia apklausomis, tačiau kyla problemų dėl nuovargio nuo apklausų ir mažo atsakymų skaičiaus. Nors grįžtamasis ryšys integruojamas į programų rengimą, absolventų ir absolventų dalyvavimas apklausose tebėra ribotas, todėl kyla susirūpinimas dėl reprezentatyvumo. MIREES tarptautinės magistrantūros programos pasitenkinimas išvykimu buvo šiek tiek mažesnis.</w:t>
      </w:r>
    </w:p>
    <w:p w14:paraId="4F44C6A2" w14:textId="4F6862A9" w:rsidR="00291AB7" w:rsidRPr="00FD16A7" w:rsidRDefault="0004747C" w:rsidP="00FD16A7">
      <w:pPr>
        <w:spacing w:before="240" w:after="240" w:line="276" w:lineRule="auto"/>
        <w:jc w:val="both"/>
        <w:rPr>
          <w:rFonts w:ascii="Arial" w:eastAsia="Arial" w:hAnsi="Arial" w:cs="Arial"/>
          <w:sz w:val="22"/>
          <w:szCs w:val="22"/>
        </w:rPr>
      </w:pPr>
      <w:r w:rsidRPr="00FD16A7">
        <w:rPr>
          <w:rFonts w:ascii="Arial" w:eastAsia="Arial" w:hAnsi="Arial" w:cs="Arial"/>
          <w:sz w:val="22"/>
          <w:szCs w:val="22"/>
        </w:rPr>
        <w:t>Apskritai, VDU politikos mokslų programos demonstruoja stiprų akademinį potencialą, aktyvų dalyvavimą moksliniuose tyrimuose ir įsipareigojimą siekti įtraukties. Tačiau vis dar išlieka svarbūs programų restruktūrizavimo, mokslinių tyrimų įsitraukimo ir tarptautiškumo iššūkiai. Jų sprendimas pasitelkiant strateginį planavimą, aiškesnę komunikaciją ir aktyvesnį dalyvavimą mokslinių tyrimų ir mobilumo iniciatyvose sustiprins VDU akademinę padėtį ir užtikrins ilgalaikę sėkmę.</w:t>
      </w:r>
    </w:p>
    <w:p w14:paraId="1C85191C" w14:textId="77777777" w:rsidR="00291AB7" w:rsidRPr="00FD16A7" w:rsidRDefault="00291AB7" w:rsidP="00FD16A7">
      <w:pPr>
        <w:spacing w:line="276" w:lineRule="auto"/>
        <w:jc w:val="center"/>
        <w:rPr>
          <w:rFonts w:ascii="Arial" w:hAnsi="Arial" w:cs="Arial"/>
          <w:sz w:val="22"/>
          <w:szCs w:val="22"/>
          <w:lang w:val="en-GB"/>
        </w:rPr>
      </w:pPr>
      <w:r w:rsidRPr="00FD16A7">
        <w:rPr>
          <w:rFonts w:ascii="Arial" w:hAnsi="Arial" w:cs="Arial"/>
          <w:sz w:val="22"/>
          <w:szCs w:val="22"/>
          <w:lang w:val="en-GB"/>
        </w:rPr>
        <w:t>_______________</w:t>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t>_____________</w:t>
      </w:r>
    </w:p>
    <w:p w14:paraId="2B7D2F5A" w14:textId="77CA579B" w:rsidR="00962EF2" w:rsidRPr="00FD16A7" w:rsidRDefault="00962EF2" w:rsidP="00FD16A7">
      <w:pPr>
        <w:spacing w:line="276" w:lineRule="auto"/>
        <w:jc w:val="center"/>
        <w:rPr>
          <w:rFonts w:ascii="Arial" w:eastAsia="Calibri" w:hAnsi="Arial" w:cs="Arial"/>
          <w:color w:val="136C73"/>
          <w:sz w:val="22"/>
          <w:szCs w:val="22"/>
        </w:rPr>
      </w:pPr>
    </w:p>
    <w:p w14:paraId="3E89CD28" w14:textId="77777777" w:rsidR="00535C59" w:rsidRPr="00FD16A7" w:rsidRDefault="00535C59" w:rsidP="00FD16A7">
      <w:pPr>
        <w:spacing w:line="276" w:lineRule="auto"/>
        <w:rPr>
          <w:rFonts w:ascii="Arial" w:hAnsi="Arial" w:cs="Arial"/>
          <w:b/>
          <w:bCs/>
          <w:sz w:val="22"/>
          <w:szCs w:val="22"/>
        </w:rPr>
      </w:pPr>
      <w:r w:rsidRPr="00FD16A7">
        <w:rPr>
          <w:rFonts w:ascii="Arial" w:hAnsi="Arial" w:cs="Arial"/>
          <w:b/>
          <w:bCs/>
          <w:sz w:val="22"/>
          <w:szCs w:val="22"/>
        </w:rPr>
        <w:t>Vertimas atliktas naudojant automatinio vertinimo programą ,,DeepL“.</w:t>
      </w:r>
    </w:p>
    <w:p w14:paraId="0F36E03A" w14:textId="06E4B74F" w:rsidR="000D4EE3" w:rsidRPr="00FD16A7" w:rsidRDefault="00535C59" w:rsidP="00FD16A7">
      <w:pPr>
        <w:spacing w:line="276" w:lineRule="auto"/>
        <w:rPr>
          <w:rFonts w:ascii="Arial" w:hAnsi="Arial" w:cs="Arial"/>
          <w:b/>
          <w:bCs/>
          <w:sz w:val="22"/>
          <w:szCs w:val="22"/>
        </w:rPr>
      </w:pPr>
      <w:r w:rsidRPr="00FD16A7">
        <w:rPr>
          <w:rFonts w:ascii="Arial" w:hAnsi="Arial" w:cs="Arial"/>
          <w:b/>
          <w:bCs/>
          <w:sz w:val="22"/>
          <w:szCs w:val="22"/>
        </w:rPr>
        <w:t>Kilus abejonėms dėl vertimo tikslumo, vadovautis išvadomis originalo kalba.</w:t>
      </w:r>
    </w:p>
    <w:sectPr w:rsidR="000D4EE3" w:rsidRPr="00FD16A7"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E6A4" w14:textId="77777777" w:rsidR="00356B06" w:rsidRDefault="00356B06" w:rsidP="0042467A">
      <w:r>
        <w:separator/>
      </w:r>
    </w:p>
  </w:endnote>
  <w:endnote w:type="continuationSeparator" w:id="0">
    <w:p w14:paraId="5B04CF61" w14:textId="77777777" w:rsidR="00356B06" w:rsidRDefault="00356B06"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8956" w14:textId="77777777" w:rsidR="00356B06" w:rsidRDefault="00356B06" w:rsidP="0042467A">
      <w:r>
        <w:separator/>
      </w:r>
    </w:p>
  </w:footnote>
  <w:footnote w:type="continuationSeparator" w:id="0">
    <w:p w14:paraId="54665ED3" w14:textId="77777777" w:rsidR="00356B06" w:rsidRDefault="00356B06" w:rsidP="0042467A">
      <w:r>
        <w:continuationSeparator/>
      </w:r>
    </w:p>
  </w:footnote>
  <w:footnote w:id="1">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FootnoteText"/>
        <w:rPr>
          <w:rFonts w:asciiTheme="minorHAnsi" w:hAnsiTheme="minorHAnsi" w:cstheme="minorHAnsi"/>
        </w:rPr>
      </w:pPr>
    </w:p>
  </w:footnote>
  <w:footnote w:id="3">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FootnoteText"/>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DC0"/>
    <w:multiLevelType w:val="multilevel"/>
    <w:tmpl w:val="5F50E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1158"/>
    <w:multiLevelType w:val="multilevel"/>
    <w:tmpl w:val="FBD0D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E1C21"/>
    <w:multiLevelType w:val="multilevel"/>
    <w:tmpl w:val="84B6B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647E1"/>
    <w:multiLevelType w:val="multilevel"/>
    <w:tmpl w:val="675CB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97325"/>
    <w:multiLevelType w:val="multilevel"/>
    <w:tmpl w:val="5F024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FC229E"/>
    <w:multiLevelType w:val="multilevel"/>
    <w:tmpl w:val="901AB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CC7E5F"/>
    <w:multiLevelType w:val="multilevel"/>
    <w:tmpl w:val="AA6EA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FB7173"/>
    <w:multiLevelType w:val="multilevel"/>
    <w:tmpl w:val="44F04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B35179"/>
    <w:multiLevelType w:val="multilevel"/>
    <w:tmpl w:val="96E43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083AB5"/>
    <w:multiLevelType w:val="multilevel"/>
    <w:tmpl w:val="067C1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855A21"/>
    <w:multiLevelType w:val="multilevel"/>
    <w:tmpl w:val="C2A0E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8D6A2B"/>
    <w:multiLevelType w:val="multilevel"/>
    <w:tmpl w:val="6044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0408FF"/>
    <w:multiLevelType w:val="multilevel"/>
    <w:tmpl w:val="A2A4F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705396"/>
    <w:multiLevelType w:val="multilevel"/>
    <w:tmpl w:val="C930D61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7D50B1"/>
    <w:multiLevelType w:val="multilevel"/>
    <w:tmpl w:val="96AA9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63297D"/>
    <w:multiLevelType w:val="multilevel"/>
    <w:tmpl w:val="BFE06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904B41"/>
    <w:multiLevelType w:val="multilevel"/>
    <w:tmpl w:val="7D5259AC"/>
    <w:lvl w:ilvl="0">
      <w:start w:val="1"/>
      <w:numFmt w:val="decimal"/>
      <w:lvlText w:val="%1."/>
      <w:lvlJc w:val="left"/>
      <w:pPr>
        <w:ind w:left="720" w:hanging="360"/>
      </w:pPr>
      <w:rPr>
        <w:color w:val="5B000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E73D4"/>
    <w:multiLevelType w:val="multilevel"/>
    <w:tmpl w:val="A1107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0A025C"/>
    <w:multiLevelType w:val="multilevel"/>
    <w:tmpl w:val="4FBC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7C54FE"/>
    <w:multiLevelType w:val="multilevel"/>
    <w:tmpl w:val="C2387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726758"/>
    <w:multiLevelType w:val="multilevel"/>
    <w:tmpl w:val="B866B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E4D3450"/>
    <w:multiLevelType w:val="multilevel"/>
    <w:tmpl w:val="53707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E817C6"/>
    <w:multiLevelType w:val="multilevel"/>
    <w:tmpl w:val="7004B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615A35"/>
    <w:multiLevelType w:val="multilevel"/>
    <w:tmpl w:val="BCB4FED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296A72"/>
    <w:multiLevelType w:val="multilevel"/>
    <w:tmpl w:val="BF20CEDE"/>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5A0EB6"/>
    <w:multiLevelType w:val="multilevel"/>
    <w:tmpl w:val="FFFC0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C517F4"/>
    <w:multiLevelType w:val="multilevel"/>
    <w:tmpl w:val="236A1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CB648D"/>
    <w:multiLevelType w:val="multilevel"/>
    <w:tmpl w:val="79984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76594C"/>
    <w:multiLevelType w:val="multilevel"/>
    <w:tmpl w:val="F000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6B0658"/>
    <w:multiLevelType w:val="multilevel"/>
    <w:tmpl w:val="0DF48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46F9A"/>
    <w:multiLevelType w:val="multilevel"/>
    <w:tmpl w:val="4D182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E8283A"/>
    <w:multiLevelType w:val="multilevel"/>
    <w:tmpl w:val="DAE07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2E2292"/>
    <w:multiLevelType w:val="multilevel"/>
    <w:tmpl w:val="F448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A131E9"/>
    <w:multiLevelType w:val="multilevel"/>
    <w:tmpl w:val="E3DE5704"/>
    <w:lvl w:ilvl="0">
      <w:start w:val="1"/>
      <w:numFmt w:val="decimal"/>
      <w:lvlText w:val="%1."/>
      <w:lvlJc w:val="left"/>
      <w:pPr>
        <w:ind w:left="720" w:hanging="360"/>
      </w:pPr>
      <w:rPr>
        <w:color w:val="5B000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791887"/>
    <w:multiLevelType w:val="multilevel"/>
    <w:tmpl w:val="6978A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9E47397"/>
    <w:multiLevelType w:val="multilevel"/>
    <w:tmpl w:val="52BEA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59776305">
    <w:abstractNumId w:val="33"/>
  </w:num>
  <w:num w:numId="2" w16cid:durableId="391120982">
    <w:abstractNumId w:val="36"/>
  </w:num>
  <w:num w:numId="3" w16cid:durableId="1136949813">
    <w:abstractNumId w:val="4"/>
  </w:num>
  <w:num w:numId="4" w16cid:durableId="223610674">
    <w:abstractNumId w:val="29"/>
  </w:num>
  <w:num w:numId="5" w16cid:durableId="2114351985">
    <w:abstractNumId w:val="5"/>
  </w:num>
  <w:num w:numId="6" w16cid:durableId="1218978391">
    <w:abstractNumId w:val="37"/>
  </w:num>
  <w:num w:numId="7" w16cid:durableId="1056078852">
    <w:abstractNumId w:val="11"/>
  </w:num>
  <w:num w:numId="8" w16cid:durableId="855584092">
    <w:abstractNumId w:val="7"/>
  </w:num>
  <w:num w:numId="9" w16cid:durableId="115636559">
    <w:abstractNumId w:val="28"/>
  </w:num>
  <w:num w:numId="10" w16cid:durableId="1802962067">
    <w:abstractNumId w:val="32"/>
  </w:num>
  <w:num w:numId="11" w16cid:durableId="1313021149">
    <w:abstractNumId w:val="19"/>
  </w:num>
  <w:num w:numId="12" w16cid:durableId="1782610062">
    <w:abstractNumId w:val="13"/>
  </w:num>
  <w:num w:numId="13" w16cid:durableId="1199776578">
    <w:abstractNumId w:val="8"/>
  </w:num>
  <w:num w:numId="14" w16cid:durableId="163129963">
    <w:abstractNumId w:val="20"/>
  </w:num>
  <w:num w:numId="15" w16cid:durableId="1706250109">
    <w:abstractNumId w:val="14"/>
  </w:num>
  <w:num w:numId="16" w16cid:durableId="273944102">
    <w:abstractNumId w:val="34"/>
  </w:num>
  <w:num w:numId="17" w16cid:durableId="1623728912">
    <w:abstractNumId w:val="23"/>
  </w:num>
  <w:num w:numId="18" w16cid:durableId="275717968">
    <w:abstractNumId w:val="17"/>
  </w:num>
  <w:num w:numId="19" w16cid:durableId="352536854">
    <w:abstractNumId w:val="25"/>
  </w:num>
  <w:num w:numId="20" w16cid:durableId="1199270713">
    <w:abstractNumId w:val="2"/>
  </w:num>
  <w:num w:numId="21" w16cid:durableId="500631061">
    <w:abstractNumId w:val="16"/>
  </w:num>
  <w:num w:numId="22" w16cid:durableId="2007243394">
    <w:abstractNumId w:val="0"/>
  </w:num>
  <w:num w:numId="23" w16cid:durableId="111215087">
    <w:abstractNumId w:val="38"/>
  </w:num>
  <w:num w:numId="24" w16cid:durableId="102455398">
    <w:abstractNumId w:val="21"/>
  </w:num>
  <w:num w:numId="25" w16cid:durableId="967589644">
    <w:abstractNumId w:val="6"/>
  </w:num>
  <w:num w:numId="26" w16cid:durableId="887455188">
    <w:abstractNumId w:val="30"/>
  </w:num>
  <w:num w:numId="27" w16cid:durableId="595331689">
    <w:abstractNumId w:val="9"/>
  </w:num>
  <w:num w:numId="28" w16cid:durableId="335500997">
    <w:abstractNumId w:val="12"/>
  </w:num>
  <w:num w:numId="29" w16cid:durableId="33892501">
    <w:abstractNumId w:val="18"/>
  </w:num>
  <w:num w:numId="30" w16cid:durableId="164327811">
    <w:abstractNumId w:val="10"/>
  </w:num>
  <w:num w:numId="31" w16cid:durableId="1266769492">
    <w:abstractNumId w:val="31"/>
  </w:num>
  <w:num w:numId="32" w16cid:durableId="969435286">
    <w:abstractNumId w:val="22"/>
  </w:num>
  <w:num w:numId="33" w16cid:durableId="1338967523">
    <w:abstractNumId w:val="26"/>
  </w:num>
  <w:num w:numId="34" w16cid:durableId="1265964642">
    <w:abstractNumId w:val="3"/>
  </w:num>
  <w:num w:numId="35" w16cid:durableId="146173972">
    <w:abstractNumId w:val="1"/>
  </w:num>
  <w:num w:numId="36" w16cid:durableId="1844320328">
    <w:abstractNumId w:val="35"/>
  </w:num>
  <w:num w:numId="37" w16cid:durableId="1825928692">
    <w:abstractNumId w:val="24"/>
  </w:num>
  <w:num w:numId="38" w16cid:durableId="222722264">
    <w:abstractNumId w:val="27"/>
  </w:num>
  <w:num w:numId="39" w16cid:durableId="186995317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415D7"/>
    <w:rsid w:val="0004747C"/>
    <w:rsid w:val="00047713"/>
    <w:rsid w:val="000550AD"/>
    <w:rsid w:val="000643A3"/>
    <w:rsid w:val="00067077"/>
    <w:rsid w:val="000A12D8"/>
    <w:rsid w:val="000A2B29"/>
    <w:rsid w:val="000B3CEE"/>
    <w:rsid w:val="000D455C"/>
    <w:rsid w:val="000D4EE3"/>
    <w:rsid w:val="000D652B"/>
    <w:rsid w:val="000F3C5C"/>
    <w:rsid w:val="00100E50"/>
    <w:rsid w:val="0010592B"/>
    <w:rsid w:val="00113BE2"/>
    <w:rsid w:val="00121083"/>
    <w:rsid w:val="00121DDA"/>
    <w:rsid w:val="00127826"/>
    <w:rsid w:val="00134FE9"/>
    <w:rsid w:val="00135FED"/>
    <w:rsid w:val="00141A16"/>
    <w:rsid w:val="001607BA"/>
    <w:rsid w:val="00171B81"/>
    <w:rsid w:val="001935B7"/>
    <w:rsid w:val="00196B5F"/>
    <w:rsid w:val="001B20A9"/>
    <w:rsid w:val="001B500A"/>
    <w:rsid w:val="001E73AF"/>
    <w:rsid w:val="001F310A"/>
    <w:rsid w:val="001F3872"/>
    <w:rsid w:val="001F4A7C"/>
    <w:rsid w:val="002307AC"/>
    <w:rsid w:val="00233A48"/>
    <w:rsid w:val="0024293E"/>
    <w:rsid w:val="00282146"/>
    <w:rsid w:val="00291AB7"/>
    <w:rsid w:val="002932EE"/>
    <w:rsid w:val="002A5085"/>
    <w:rsid w:val="002B5DDD"/>
    <w:rsid w:val="002B65A0"/>
    <w:rsid w:val="002C3071"/>
    <w:rsid w:val="002D0027"/>
    <w:rsid w:val="002E0ADF"/>
    <w:rsid w:val="002F0FD3"/>
    <w:rsid w:val="002F2879"/>
    <w:rsid w:val="002F4424"/>
    <w:rsid w:val="003002EA"/>
    <w:rsid w:val="00315B5C"/>
    <w:rsid w:val="003274FD"/>
    <w:rsid w:val="00347078"/>
    <w:rsid w:val="00356B06"/>
    <w:rsid w:val="00381174"/>
    <w:rsid w:val="00384199"/>
    <w:rsid w:val="00385F18"/>
    <w:rsid w:val="003C2BE5"/>
    <w:rsid w:val="003E0870"/>
    <w:rsid w:val="003F1A39"/>
    <w:rsid w:val="0042467A"/>
    <w:rsid w:val="0043262A"/>
    <w:rsid w:val="00437B9D"/>
    <w:rsid w:val="004424A0"/>
    <w:rsid w:val="004857AE"/>
    <w:rsid w:val="0049327D"/>
    <w:rsid w:val="004933C9"/>
    <w:rsid w:val="004A331D"/>
    <w:rsid w:val="004B5551"/>
    <w:rsid w:val="004F62F8"/>
    <w:rsid w:val="00504D2E"/>
    <w:rsid w:val="00507E52"/>
    <w:rsid w:val="00535C59"/>
    <w:rsid w:val="00550E79"/>
    <w:rsid w:val="00562B38"/>
    <w:rsid w:val="00583954"/>
    <w:rsid w:val="00592E7A"/>
    <w:rsid w:val="00596560"/>
    <w:rsid w:val="005A5B7E"/>
    <w:rsid w:val="005A6EE0"/>
    <w:rsid w:val="005C4582"/>
    <w:rsid w:val="005D0FF7"/>
    <w:rsid w:val="005E6AB8"/>
    <w:rsid w:val="0060015D"/>
    <w:rsid w:val="00620295"/>
    <w:rsid w:val="00626397"/>
    <w:rsid w:val="006501B9"/>
    <w:rsid w:val="00654C95"/>
    <w:rsid w:val="00665FF5"/>
    <w:rsid w:val="006675C3"/>
    <w:rsid w:val="0066772B"/>
    <w:rsid w:val="00672F6D"/>
    <w:rsid w:val="00677F9A"/>
    <w:rsid w:val="006823D8"/>
    <w:rsid w:val="0068522F"/>
    <w:rsid w:val="00691695"/>
    <w:rsid w:val="0069329A"/>
    <w:rsid w:val="006B249B"/>
    <w:rsid w:val="006B263A"/>
    <w:rsid w:val="006D1CFD"/>
    <w:rsid w:val="006D59EB"/>
    <w:rsid w:val="006E0BFE"/>
    <w:rsid w:val="006E6977"/>
    <w:rsid w:val="00701904"/>
    <w:rsid w:val="00726FD0"/>
    <w:rsid w:val="00752780"/>
    <w:rsid w:val="007652CA"/>
    <w:rsid w:val="007A253F"/>
    <w:rsid w:val="007A56A7"/>
    <w:rsid w:val="007A6203"/>
    <w:rsid w:val="007B563E"/>
    <w:rsid w:val="007C163A"/>
    <w:rsid w:val="007D08A2"/>
    <w:rsid w:val="007E04D8"/>
    <w:rsid w:val="0081573D"/>
    <w:rsid w:val="00822851"/>
    <w:rsid w:val="00823F6F"/>
    <w:rsid w:val="008329B5"/>
    <w:rsid w:val="00840DB8"/>
    <w:rsid w:val="0084778A"/>
    <w:rsid w:val="00880CC9"/>
    <w:rsid w:val="00882DD0"/>
    <w:rsid w:val="008A1A03"/>
    <w:rsid w:val="008D0291"/>
    <w:rsid w:val="008D61B1"/>
    <w:rsid w:val="008E6E56"/>
    <w:rsid w:val="008F198C"/>
    <w:rsid w:val="008F64DA"/>
    <w:rsid w:val="0090052E"/>
    <w:rsid w:val="00921CA5"/>
    <w:rsid w:val="009361AA"/>
    <w:rsid w:val="0095160F"/>
    <w:rsid w:val="00955567"/>
    <w:rsid w:val="00962A09"/>
    <w:rsid w:val="00962EF2"/>
    <w:rsid w:val="00970BA5"/>
    <w:rsid w:val="0097182D"/>
    <w:rsid w:val="009B0DE0"/>
    <w:rsid w:val="009B1A04"/>
    <w:rsid w:val="009C206C"/>
    <w:rsid w:val="009D11FE"/>
    <w:rsid w:val="009D18EE"/>
    <w:rsid w:val="009D23F6"/>
    <w:rsid w:val="009D2464"/>
    <w:rsid w:val="009E209B"/>
    <w:rsid w:val="009E3F5C"/>
    <w:rsid w:val="009E588C"/>
    <w:rsid w:val="009F7697"/>
    <w:rsid w:val="00A13567"/>
    <w:rsid w:val="00A213D8"/>
    <w:rsid w:val="00A32D18"/>
    <w:rsid w:val="00A43FD4"/>
    <w:rsid w:val="00A55DA6"/>
    <w:rsid w:val="00A61E4C"/>
    <w:rsid w:val="00A7414D"/>
    <w:rsid w:val="00A76858"/>
    <w:rsid w:val="00A838F5"/>
    <w:rsid w:val="00A85F3D"/>
    <w:rsid w:val="00B1323E"/>
    <w:rsid w:val="00B16C97"/>
    <w:rsid w:val="00B21CD7"/>
    <w:rsid w:val="00B22A87"/>
    <w:rsid w:val="00B46843"/>
    <w:rsid w:val="00B4797C"/>
    <w:rsid w:val="00B53B48"/>
    <w:rsid w:val="00B659BF"/>
    <w:rsid w:val="00B830B2"/>
    <w:rsid w:val="00B86E3F"/>
    <w:rsid w:val="00BA1EAB"/>
    <w:rsid w:val="00BB1255"/>
    <w:rsid w:val="00BC7225"/>
    <w:rsid w:val="00BD0902"/>
    <w:rsid w:val="00BE4071"/>
    <w:rsid w:val="00BE7F1E"/>
    <w:rsid w:val="00BF0A37"/>
    <w:rsid w:val="00BF5AE1"/>
    <w:rsid w:val="00BF6CF4"/>
    <w:rsid w:val="00C16716"/>
    <w:rsid w:val="00C1703B"/>
    <w:rsid w:val="00C218B5"/>
    <w:rsid w:val="00C47093"/>
    <w:rsid w:val="00C72D32"/>
    <w:rsid w:val="00C7668B"/>
    <w:rsid w:val="00C77CB9"/>
    <w:rsid w:val="00C90ECC"/>
    <w:rsid w:val="00CA30E1"/>
    <w:rsid w:val="00CB194C"/>
    <w:rsid w:val="00CE7CA1"/>
    <w:rsid w:val="00CF17B4"/>
    <w:rsid w:val="00CF1D8A"/>
    <w:rsid w:val="00D12BE0"/>
    <w:rsid w:val="00D1688F"/>
    <w:rsid w:val="00D32F58"/>
    <w:rsid w:val="00D44EA1"/>
    <w:rsid w:val="00D54447"/>
    <w:rsid w:val="00D83357"/>
    <w:rsid w:val="00D8335B"/>
    <w:rsid w:val="00D91383"/>
    <w:rsid w:val="00DB02D2"/>
    <w:rsid w:val="00DB19F0"/>
    <w:rsid w:val="00DB55FE"/>
    <w:rsid w:val="00DC797A"/>
    <w:rsid w:val="00DE3287"/>
    <w:rsid w:val="00E035D8"/>
    <w:rsid w:val="00E30A5B"/>
    <w:rsid w:val="00E400BA"/>
    <w:rsid w:val="00E45E78"/>
    <w:rsid w:val="00E644E2"/>
    <w:rsid w:val="00E83E52"/>
    <w:rsid w:val="00E90C75"/>
    <w:rsid w:val="00EA1A61"/>
    <w:rsid w:val="00EB06E1"/>
    <w:rsid w:val="00EC1A38"/>
    <w:rsid w:val="00ED3A8A"/>
    <w:rsid w:val="00EE0DD3"/>
    <w:rsid w:val="00F024F0"/>
    <w:rsid w:val="00F17F22"/>
    <w:rsid w:val="00F17F4F"/>
    <w:rsid w:val="00F323F3"/>
    <w:rsid w:val="00F4603E"/>
    <w:rsid w:val="00F468FC"/>
    <w:rsid w:val="00F5037C"/>
    <w:rsid w:val="00F53D17"/>
    <w:rsid w:val="00F64A37"/>
    <w:rsid w:val="00F66E6A"/>
    <w:rsid w:val="00FB3FE2"/>
    <w:rsid w:val="00FC7568"/>
    <w:rsid w:val="00FD16A7"/>
    <w:rsid w:val="00FD1CB0"/>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110</TotalTime>
  <Pages>26</Pages>
  <Words>5508</Words>
  <Characters>37505</Characters>
  <Application>Microsoft Office Word</Application>
  <DocSecurity>0</DocSecurity>
  <Lines>312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Aušra Leskauskaitė</cp:lastModifiedBy>
  <cp:lastPrinted>2017-08-18T07:39:00Z</cp:lastPrinted>
  <dcterms:modified xsi:type="dcterms:W3CDTF">2025-06-12T21:26:00Z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