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9B" w:rsidRPr="00BA6C5E" w:rsidRDefault="008F519B" w:rsidP="00317AA5">
      <w:pPr>
        <w:jc w:val="cente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SKVCZhenklas" style="width:100.5pt;height:1in;visibility:visible">
            <v:imagedata r:id="rId7" o:title=""/>
          </v:shape>
        </w:pict>
      </w:r>
    </w:p>
    <w:p w:rsidR="008F519B" w:rsidRPr="00BA6C5E" w:rsidRDefault="008F519B" w:rsidP="00317AA5">
      <w:pPr>
        <w:spacing w:line="240" w:lineRule="auto"/>
        <w:jc w:val="center"/>
        <w:rPr>
          <w:sz w:val="32"/>
          <w:szCs w:val="32"/>
        </w:rPr>
      </w:pPr>
      <w:r w:rsidRPr="00BA6C5E">
        <w:rPr>
          <w:sz w:val="32"/>
          <w:szCs w:val="32"/>
        </w:rPr>
        <w:t>STUDIJŲ KOKYBĖS VERTINIMO CENTRAS</w:t>
      </w:r>
    </w:p>
    <w:p w:rsidR="008F519B" w:rsidRPr="00BA6C5E" w:rsidRDefault="008F519B" w:rsidP="00174068">
      <w:pPr>
        <w:pStyle w:val="Heading1"/>
      </w:pPr>
    </w:p>
    <w:p w:rsidR="008F519B" w:rsidRPr="00BA6C5E" w:rsidRDefault="008F519B" w:rsidP="00174068">
      <w:pPr>
        <w:pStyle w:val="Heading1"/>
      </w:pPr>
    </w:p>
    <w:p w:rsidR="008F519B" w:rsidRPr="00BA6C5E" w:rsidRDefault="008F519B" w:rsidP="00174068">
      <w:pPr>
        <w:spacing w:line="240" w:lineRule="auto"/>
        <w:jc w:val="center"/>
        <w:rPr>
          <w:b/>
          <w:sz w:val="36"/>
          <w:szCs w:val="36"/>
        </w:rPr>
      </w:pPr>
      <w:r w:rsidRPr="00BA6C5E">
        <w:rPr>
          <w:b/>
          <w:sz w:val="36"/>
          <w:szCs w:val="36"/>
        </w:rPr>
        <w:t>Vilniaus pedagoginio universiteto</w:t>
      </w:r>
    </w:p>
    <w:p w:rsidR="008F519B" w:rsidRPr="00BA6C5E" w:rsidRDefault="008F519B" w:rsidP="00317AA5">
      <w:pPr>
        <w:spacing w:before="160" w:after="160" w:line="240" w:lineRule="auto"/>
        <w:jc w:val="center"/>
        <w:rPr>
          <w:b/>
          <w:sz w:val="36"/>
          <w:szCs w:val="36"/>
        </w:rPr>
      </w:pPr>
      <w:r w:rsidRPr="00BA6C5E">
        <w:rPr>
          <w:b/>
          <w:sz w:val="36"/>
          <w:szCs w:val="36"/>
        </w:rPr>
        <w:t>PROGRAMO</w:t>
      </w:r>
      <w:r w:rsidRPr="00BA6C5E">
        <w:rPr>
          <w:b/>
          <w:caps/>
          <w:sz w:val="36"/>
          <w:szCs w:val="36"/>
        </w:rPr>
        <w:t>S „muzika“</w:t>
      </w:r>
      <w:r w:rsidRPr="00BA6C5E">
        <w:rPr>
          <w:b/>
          <w:sz w:val="36"/>
          <w:szCs w:val="36"/>
        </w:rPr>
        <w:t xml:space="preserve"> (61201M109</w:t>
      </w:r>
      <w:r>
        <w:rPr>
          <w:b/>
          <w:sz w:val="36"/>
          <w:szCs w:val="36"/>
        </w:rPr>
        <w:t>, 612X14003</w:t>
      </w:r>
      <w:r w:rsidRPr="00BA6C5E">
        <w:rPr>
          <w:b/>
          <w:sz w:val="36"/>
          <w:szCs w:val="36"/>
        </w:rPr>
        <w:t>)</w:t>
      </w:r>
    </w:p>
    <w:p w:rsidR="008F519B" w:rsidRPr="00BA6C5E" w:rsidRDefault="008F519B" w:rsidP="00317AA5">
      <w:pPr>
        <w:spacing w:before="160" w:after="160" w:line="240" w:lineRule="auto"/>
        <w:jc w:val="center"/>
        <w:rPr>
          <w:b/>
          <w:bCs/>
          <w:sz w:val="36"/>
          <w:szCs w:val="36"/>
        </w:rPr>
      </w:pPr>
      <w:r w:rsidRPr="00BA6C5E">
        <w:rPr>
          <w:b/>
          <w:sz w:val="36"/>
          <w:szCs w:val="36"/>
        </w:rPr>
        <w:t xml:space="preserve">VERTINIMO </w:t>
      </w:r>
      <w:bookmarkStart w:id="0" w:name="_Toc102141433"/>
      <w:r w:rsidRPr="00BA6C5E">
        <w:rPr>
          <w:b/>
          <w:bCs/>
          <w:sz w:val="36"/>
          <w:szCs w:val="36"/>
        </w:rPr>
        <w:t>IŠVADOS</w:t>
      </w:r>
      <w:bookmarkEnd w:id="0"/>
    </w:p>
    <w:p w:rsidR="008F519B" w:rsidRPr="00BA6C5E" w:rsidRDefault="008F519B" w:rsidP="00F6027F">
      <w:pPr>
        <w:spacing w:line="240" w:lineRule="auto"/>
        <w:jc w:val="center"/>
        <w:rPr>
          <w:sz w:val="36"/>
          <w:szCs w:val="36"/>
        </w:rPr>
      </w:pPr>
    </w:p>
    <w:p w:rsidR="008F519B" w:rsidRPr="00BA6C5E" w:rsidRDefault="008F519B" w:rsidP="00F6027F">
      <w:pPr>
        <w:spacing w:line="240" w:lineRule="auto"/>
        <w:jc w:val="center"/>
        <w:rPr>
          <w:sz w:val="36"/>
          <w:szCs w:val="36"/>
        </w:rPr>
      </w:pPr>
      <w:r w:rsidRPr="00BA6C5E">
        <w:rPr>
          <w:sz w:val="36"/>
          <w:szCs w:val="36"/>
        </w:rPr>
        <w:t>––––––––––––––––––––––––––––––</w:t>
      </w:r>
    </w:p>
    <w:p w:rsidR="008F519B" w:rsidRPr="00BA6C5E" w:rsidRDefault="008F519B" w:rsidP="00F6027F">
      <w:pPr>
        <w:spacing w:line="240" w:lineRule="auto"/>
        <w:jc w:val="center"/>
        <w:rPr>
          <w:sz w:val="36"/>
          <w:szCs w:val="36"/>
        </w:rPr>
      </w:pPr>
    </w:p>
    <w:p w:rsidR="008F519B" w:rsidRPr="00BA6C5E" w:rsidRDefault="008F519B" w:rsidP="00317AA5">
      <w:pPr>
        <w:spacing w:before="160" w:after="160" w:line="240" w:lineRule="auto"/>
        <w:jc w:val="center"/>
        <w:rPr>
          <w:b/>
          <w:sz w:val="36"/>
          <w:szCs w:val="36"/>
        </w:rPr>
      </w:pPr>
      <w:r w:rsidRPr="00BA6C5E">
        <w:rPr>
          <w:b/>
          <w:sz w:val="36"/>
          <w:szCs w:val="36"/>
        </w:rPr>
        <w:t>EVALUATION REPORT</w:t>
      </w:r>
    </w:p>
    <w:p w:rsidR="008F519B" w:rsidRPr="00BA6C5E" w:rsidRDefault="008F519B" w:rsidP="00317AA5">
      <w:pPr>
        <w:spacing w:before="160" w:after="160" w:line="240" w:lineRule="auto"/>
        <w:jc w:val="center"/>
        <w:rPr>
          <w:b/>
          <w:sz w:val="36"/>
          <w:szCs w:val="36"/>
        </w:rPr>
      </w:pPr>
      <w:r w:rsidRPr="00BA6C5E">
        <w:rPr>
          <w:b/>
          <w:sz w:val="36"/>
          <w:szCs w:val="36"/>
        </w:rPr>
        <w:t xml:space="preserve">of </w:t>
      </w:r>
      <w:r w:rsidRPr="00BA6C5E">
        <w:rPr>
          <w:b/>
          <w:i/>
          <w:caps/>
          <w:sz w:val="36"/>
          <w:szCs w:val="36"/>
        </w:rPr>
        <w:t>music</w:t>
      </w:r>
      <w:r w:rsidRPr="00BA6C5E">
        <w:rPr>
          <w:b/>
          <w:sz w:val="36"/>
          <w:szCs w:val="36"/>
        </w:rPr>
        <w:t xml:space="preserve"> (61201M109</w:t>
      </w:r>
      <w:r>
        <w:rPr>
          <w:b/>
          <w:sz w:val="36"/>
          <w:szCs w:val="36"/>
        </w:rPr>
        <w:t>,</w:t>
      </w:r>
      <w:r w:rsidRPr="008A7C0A">
        <w:rPr>
          <w:b/>
          <w:sz w:val="36"/>
          <w:szCs w:val="36"/>
        </w:rPr>
        <w:t xml:space="preserve"> </w:t>
      </w:r>
      <w:r>
        <w:rPr>
          <w:b/>
          <w:sz w:val="36"/>
          <w:szCs w:val="36"/>
        </w:rPr>
        <w:t xml:space="preserve">612X14003 </w:t>
      </w:r>
      <w:r w:rsidRPr="00BA6C5E">
        <w:rPr>
          <w:b/>
          <w:sz w:val="36"/>
          <w:szCs w:val="36"/>
        </w:rPr>
        <w:t>)</w:t>
      </w:r>
      <w:r w:rsidRPr="00BA6C5E">
        <w:rPr>
          <w:sz w:val="36"/>
          <w:szCs w:val="36"/>
        </w:rPr>
        <w:br/>
      </w:r>
      <w:r w:rsidRPr="00BA6C5E">
        <w:rPr>
          <w:b/>
          <w:sz w:val="36"/>
          <w:szCs w:val="36"/>
        </w:rPr>
        <w:t xml:space="preserve">STUDY </w:t>
      </w:r>
      <w:r>
        <w:rPr>
          <w:b/>
          <w:sz w:val="36"/>
          <w:szCs w:val="36"/>
        </w:rPr>
        <w:t>PROGRAM</w:t>
      </w:r>
    </w:p>
    <w:p w:rsidR="008F519B" w:rsidRPr="00BA6C5E" w:rsidRDefault="008F519B" w:rsidP="00317AA5">
      <w:pPr>
        <w:spacing w:before="160" w:after="160" w:line="240" w:lineRule="auto"/>
        <w:jc w:val="center"/>
        <w:rPr>
          <w:sz w:val="36"/>
          <w:szCs w:val="36"/>
          <w:lang w:val="en-US"/>
        </w:rPr>
      </w:pPr>
      <w:r w:rsidRPr="00BA6C5E">
        <w:rPr>
          <w:sz w:val="36"/>
          <w:szCs w:val="36"/>
        </w:rPr>
        <w:t>at Vilnius Pedagogical University</w:t>
      </w:r>
    </w:p>
    <w:p w:rsidR="008F519B" w:rsidRPr="00BA6C5E" w:rsidRDefault="008F519B" w:rsidP="00317AA5">
      <w:pPr>
        <w:spacing w:line="240" w:lineRule="auto"/>
        <w:jc w:val="center"/>
      </w:pPr>
    </w:p>
    <w:p w:rsidR="008F519B" w:rsidRPr="00BA6C5E" w:rsidRDefault="008F519B" w:rsidP="00317AA5">
      <w:pPr>
        <w:spacing w:line="240" w:lineRule="auto"/>
        <w:jc w:val="center"/>
        <w:rPr>
          <w:i/>
        </w:rPr>
      </w:pPr>
    </w:p>
    <w:tbl>
      <w:tblPr>
        <w:tblW w:w="0" w:type="auto"/>
        <w:tblInd w:w="1548" w:type="dxa"/>
        <w:tblLook w:val="01E0"/>
      </w:tblPr>
      <w:tblGrid>
        <w:gridCol w:w="2531"/>
        <w:gridCol w:w="5140"/>
      </w:tblGrid>
      <w:tr w:rsidR="008F519B" w:rsidRPr="00BA6C5E" w:rsidTr="00521AF3">
        <w:trPr>
          <w:trHeight w:val="397"/>
        </w:trPr>
        <w:tc>
          <w:tcPr>
            <w:tcW w:w="2531" w:type="dxa"/>
            <w:vAlign w:val="center"/>
          </w:tcPr>
          <w:p w:rsidR="008F519B" w:rsidRPr="00521AF3" w:rsidRDefault="008F519B" w:rsidP="00521AF3">
            <w:pPr>
              <w:pStyle w:val="Header"/>
              <w:tabs>
                <w:tab w:val="left" w:pos="720"/>
              </w:tabs>
              <w:rPr>
                <w:rFonts w:ascii="Times New Roman" w:hAnsi="Times New Roman"/>
              </w:rPr>
            </w:pPr>
            <w:r w:rsidRPr="00521AF3">
              <w:rPr>
                <w:rFonts w:ascii="Times New Roman" w:hAnsi="Times New Roman"/>
              </w:rPr>
              <w:t>Grupės vadovas:</w:t>
            </w:r>
          </w:p>
          <w:p w:rsidR="008F519B" w:rsidRPr="00521AF3" w:rsidRDefault="008F519B" w:rsidP="00521AF3">
            <w:pPr>
              <w:pStyle w:val="Header"/>
              <w:tabs>
                <w:tab w:val="clear" w:pos="4153"/>
                <w:tab w:val="clear" w:pos="8306"/>
              </w:tabs>
              <w:rPr>
                <w:rFonts w:ascii="Times New Roman" w:hAnsi="Times New Roman"/>
              </w:rPr>
            </w:pPr>
            <w:r w:rsidRPr="00521AF3">
              <w:rPr>
                <w:rFonts w:ascii="Times New Roman" w:hAnsi="Times New Roman"/>
              </w:rPr>
              <w:t>Team leader:</w:t>
            </w:r>
          </w:p>
        </w:tc>
        <w:tc>
          <w:tcPr>
            <w:tcW w:w="5140" w:type="dxa"/>
            <w:vAlign w:val="center"/>
          </w:tcPr>
          <w:p w:rsidR="008F519B" w:rsidRPr="00521AF3" w:rsidRDefault="008F519B" w:rsidP="00521AF3">
            <w:pPr>
              <w:pStyle w:val="Header"/>
              <w:tabs>
                <w:tab w:val="clear" w:pos="4153"/>
                <w:tab w:val="clear" w:pos="8306"/>
              </w:tabs>
              <w:rPr>
                <w:rFonts w:ascii="Times New Roman" w:hAnsi="Times New Roman"/>
              </w:rPr>
            </w:pPr>
            <w:r w:rsidRPr="00521AF3">
              <w:rPr>
                <w:rFonts w:ascii="Times New Roman" w:hAnsi="Times New Roman"/>
              </w:rPr>
              <w:t>Philippe Dinkel</w:t>
            </w:r>
          </w:p>
        </w:tc>
      </w:tr>
      <w:tr w:rsidR="008F519B" w:rsidRPr="00BA6C5E" w:rsidTr="00521AF3">
        <w:trPr>
          <w:trHeight w:hRule="exact" w:val="284"/>
        </w:trPr>
        <w:tc>
          <w:tcPr>
            <w:tcW w:w="2531" w:type="dxa"/>
            <w:vAlign w:val="center"/>
          </w:tcPr>
          <w:p w:rsidR="008F519B" w:rsidRPr="00521AF3" w:rsidRDefault="008F519B" w:rsidP="00521AF3">
            <w:pPr>
              <w:pStyle w:val="Header"/>
              <w:tabs>
                <w:tab w:val="left" w:pos="720"/>
              </w:tabs>
              <w:rPr>
                <w:rFonts w:ascii="Times New Roman" w:hAnsi="Times New Roman"/>
              </w:rPr>
            </w:pPr>
            <w:r w:rsidRPr="00521AF3">
              <w:rPr>
                <w:rFonts w:ascii="Times New Roman" w:hAnsi="Times New Roman"/>
              </w:rPr>
              <w:t>Grupės nariai:</w:t>
            </w:r>
          </w:p>
          <w:p w:rsidR="008F519B" w:rsidRPr="00521AF3" w:rsidRDefault="008F519B" w:rsidP="00521AF3">
            <w:pPr>
              <w:pStyle w:val="Header"/>
              <w:tabs>
                <w:tab w:val="clear" w:pos="4153"/>
                <w:tab w:val="clear" w:pos="8306"/>
              </w:tabs>
              <w:rPr>
                <w:rFonts w:ascii="Times New Roman" w:hAnsi="Times New Roman"/>
              </w:rPr>
            </w:pPr>
            <w:r w:rsidRPr="00521AF3">
              <w:rPr>
                <w:rFonts w:ascii="Times New Roman" w:hAnsi="Times New Roman"/>
                <w:lang w:val="pl-PL"/>
              </w:rPr>
              <w:t>Team members:</w:t>
            </w:r>
          </w:p>
        </w:tc>
        <w:tc>
          <w:tcPr>
            <w:tcW w:w="5140" w:type="dxa"/>
            <w:vAlign w:val="center"/>
          </w:tcPr>
          <w:p w:rsidR="008F519B" w:rsidRPr="00521AF3" w:rsidRDefault="008F519B" w:rsidP="00521AF3">
            <w:pPr>
              <w:pStyle w:val="Header"/>
              <w:tabs>
                <w:tab w:val="clear" w:pos="4153"/>
                <w:tab w:val="clear" w:pos="8306"/>
              </w:tabs>
              <w:rPr>
                <w:rFonts w:ascii="Times New Roman" w:hAnsi="Times New Roman"/>
              </w:rPr>
            </w:pPr>
            <w:r w:rsidRPr="00521AF3">
              <w:rPr>
                <w:rFonts w:ascii="Times New Roman" w:hAnsi="Times New Roman"/>
              </w:rPr>
              <w:t>Adras Batta</w:t>
            </w:r>
          </w:p>
        </w:tc>
      </w:tr>
      <w:tr w:rsidR="008F519B" w:rsidRPr="00BA6C5E" w:rsidTr="00521AF3">
        <w:trPr>
          <w:trHeight w:val="397"/>
        </w:trPr>
        <w:tc>
          <w:tcPr>
            <w:tcW w:w="2531" w:type="dxa"/>
            <w:vMerge w:val="restart"/>
            <w:vAlign w:val="center"/>
          </w:tcPr>
          <w:p w:rsidR="008F519B" w:rsidRPr="00521AF3" w:rsidRDefault="008F519B" w:rsidP="00521AF3">
            <w:pPr>
              <w:pStyle w:val="Header"/>
              <w:tabs>
                <w:tab w:val="clear" w:pos="4153"/>
                <w:tab w:val="clear" w:pos="8306"/>
              </w:tabs>
              <w:rPr>
                <w:rFonts w:ascii="Times New Roman" w:hAnsi="Times New Roman"/>
              </w:rPr>
            </w:pPr>
          </w:p>
        </w:tc>
        <w:tc>
          <w:tcPr>
            <w:tcW w:w="5140" w:type="dxa"/>
            <w:vAlign w:val="center"/>
          </w:tcPr>
          <w:p w:rsidR="008F519B" w:rsidRPr="00521AF3" w:rsidRDefault="008F519B" w:rsidP="00521AF3">
            <w:pPr>
              <w:pStyle w:val="Header"/>
              <w:tabs>
                <w:tab w:val="clear" w:pos="4153"/>
                <w:tab w:val="clear" w:pos="8306"/>
              </w:tabs>
              <w:rPr>
                <w:rFonts w:ascii="Times New Roman" w:hAnsi="Times New Roman"/>
              </w:rPr>
            </w:pPr>
            <w:r w:rsidRPr="00521AF3">
              <w:rPr>
                <w:rFonts w:ascii="Times New Roman" w:hAnsi="Times New Roman"/>
              </w:rPr>
              <w:t>Mist Thorkelsdottir</w:t>
            </w:r>
          </w:p>
        </w:tc>
      </w:tr>
      <w:tr w:rsidR="008F519B" w:rsidRPr="00BA6C5E" w:rsidTr="00521AF3">
        <w:trPr>
          <w:trHeight w:val="397"/>
        </w:trPr>
        <w:tc>
          <w:tcPr>
            <w:tcW w:w="2531" w:type="dxa"/>
            <w:vMerge/>
            <w:vAlign w:val="center"/>
          </w:tcPr>
          <w:p w:rsidR="008F519B" w:rsidRPr="00521AF3" w:rsidRDefault="008F519B" w:rsidP="00521AF3">
            <w:pPr>
              <w:pStyle w:val="Header"/>
              <w:tabs>
                <w:tab w:val="clear" w:pos="4153"/>
                <w:tab w:val="clear" w:pos="8306"/>
              </w:tabs>
              <w:rPr>
                <w:rFonts w:ascii="Times New Roman" w:hAnsi="Times New Roman"/>
              </w:rPr>
            </w:pPr>
          </w:p>
        </w:tc>
        <w:tc>
          <w:tcPr>
            <w:tcW w:w="5140" w:type="dxa"/>
            <w:vAlign w:val="center"/>
          </w:tcPr>
          <w:p w:rsidR="008F519B" w:rsidRPr="00521AF3" w:rsidRDefault="008F519B" w:rsidP="00521AF3">
            <w:pPr>
              <w:pStyle w:val="Header"/>
              <w:tabs>
                <w:tab w:val="clear" w:pos="4153"/>
                <w:tab w:val="clear" w:pos="8306"/>
              </w:tabs>
              <w:rPr>
                <w:rFonts w:ascii="Times New Roman" w:hAnsi="Times New Roman"/>
              </w:rPr>
            </w:pPr>
            <w:r w:rsidRPr="00521AF3">
              <w:rPr>
                <w:rFonts w:ascii="Times New Roman" w:hAnsi="Times New Roman"/>
              </w:rPr>
              <w:t>Robert Fitzpatrick</w:t>
            </w:r>
          </w:p>
        </w:tc>
      </w:tr>
      <w:tr w:rsidR="008F519B" w:rsidRPr="00BA6C5E" w:rsidTr="00521AF3">
        <w:trPr>
          <w:trHeight w:val="397"/>
        </w:trPr>
        <w:tc>
          <w:tcPr>
            <w:tcW w:w="2531" w:type="dxa"/>
            <w:vAlign w:val="center"/>
          </w:tcPr>
          <w:p w:rsidR="008F519B" w:rsidRPr="00521AF3" w:rsidRDefault="008F519B" w:rsidP="00521AF3">
            <w:pPr>
              <w:pStyle w:val="Header"/>
              <w:tabs>
                <w:tab w:val="clear" w:pos="4153"/>
                <w:tab w:val="clear" w:pos="8306"/>
              </w:tabs>
              <w:rPr>
                <w:rFonts w:ascii="Times New Roman" w:hAnsi="Times New Roman"/>
              </w:rPr>
            </w:pPr>
          </w:p>
        </w:tc>
        <w:tc>
          <w:tcPr>
            <w:tcW w:w="5140" w:type="dxa"/>
            <w:vAlign w:val="center"/>
          </w:tcPr>
          <w:p w:rsidR="008F519B" w:rsidRPr="00521AF3" w:rsidRDefault="008F519B" w:rsidP="00521AF3">
            <w:pPr>
              <w:pStyle w:val="Header"/>
              <w:tabs>
                <w:tab w:val="clear" w:pos="4153"/>
                <w:tab w:val="clear" w:pos="8306"/>
              </w:tabs>
              <w:rPr>
                <w:rFonts w:ascii="Times New Roman" w:hAnsi="Times New Roman"/>
              </w:rPr>
            </w:pPr>
            <w:r w:rsidRPr="00521AF3">
              <w:rPr>
                <w:rFonts w:ascii="Times New Roman" w:hAnsi="Times New Roman"/>
              </w:rPr>
              <w:t>Gerda Van Zelm</w:t>
            </w:r>
          </w:p>
        </w:tc>
      </w:tr>
      <w:tr w:rsidR="008F519B" w:rsidRPr="00BA6C5E" w:rsidTr="00521AF3">
        <w:trPr>
          <w:trHeight w:val="397"/>
        </w:trPr>
        <w:tc>
          <w:tcPr>
            <w:tcW w:w="2531" w:type="dxa"/>
            <w:vAlign w:val="center"/>
          </w:tcPr>
          <w:p w:rsidR="008F519B" w:rsidRPr="00521AF3" w:rsidRDefault="008F519B" w:rsidP="00521AF3">
            <w:pPr>
              <w:pStyle w:val="Header"/>
              <w:tabs>
                <w:tab w:val="clear" w:pos="4153"/>
                <w:tab w:val="clear" w:pos="8306"/>
              </w:tabs>
              <w:rPr>
                <w:rFonts w:ascii="Times New Roman" w:hAnsi="Times New Roman"/>
              </w:rPr>
            </w:pPr>
          </w:p>
        </w:tc>
        <w:tc>
          <w:tcPr>
            <w:tcW w:w="5140" w:type="dxa"/>
            <w:vAlign w:val="center"/>
          </w:tcPr>
          <w:p w:rsidR="008F519B" w:rsidRPr="00521AF3" w:rsidRDefault="008F519B" w:rsidP="00521AF3">
            <w:pPr>
              <w:pStyle w:val="Header"/>
              <w:tabs>
                <w:tab w:val="clear" w:pos="4153"/>
                <w:tab w:val="clear" w:pos="8306"/>
              </w:tabs>
              <w:rPr>
                <w:rFonts w:ascii="Times New Roman" w:hAnsi="Times New Roman"/>
              </w:rPr>
            </w:pPr>
            <w:r w:rsidRPr="00521AF3">
              <w:rPr>
                <w:rFonts w:ascii="Times New Roman" w:hAnsi="Times New Roman"/>
              </w:rPr>
              <w:t>Darius Kučinskas</w:t>
            </w:r>
          </w:p>
        </w:tc>
      </w:tr>
    </w:tbl>
    <w:p w:rsidR="008F519B" w:rsidRPr="00BA6C5E" w:rsidRDefault="008F519B" w:rsidP="00317AA5">
      <w:pPr>
        <w:spacing w:line="240" w:lineRule="auto"/>
        <w:jc w:val="center"/>
      </w:pPr>
    </w:p>
    <w:p w:rsidR="008F519B" w:rsidRPr="00BA6C5E" w:rsidRDefault="008F519B" w:rsidP="00174068">
      <w:pPr>
        <w:pStyle w:val="Heading1"/>
      </w:pPr>
    </w:p>
    <w:p w:rsidR="008F519B" w:rsidRPr="00BA6C5E" w:rsidRDefault="008F519B" w:rsidP="00D4415F"/>
    <w:p w:rsidR="008F519B" w:rsidRPr="00BA6C5E" w:rsidRDefault="008F519B" w:rsidP="00174068">
      <w:pPr>
        <w:pStyle w:val="Heading1"/>
      </w:pPr>
    </w:p>
    <w:p w:rsidR="008F519B" w:rsidRPr="00BA6C5E" w:rsidRDefault="008F519B" w:rsidP="000235AB"/>
    <w:p w:rsidR="008F519B" w:rsidRPr="00BA6C5E" w:rsidRDefault="008F519B" w:rsidP="00317AA5">
      <w:pPr>
        <w:spacing w:line="240" w:lineRule="auto"/>
        <w:rPr>
          <w:lang w:val="en-GB"/>
        </w:rPr>
      </w:pPr>
      <w:r w:rsidRPr="00BA6C5E">
        <w:rPr>
          <w:lang w:val="en-GB"/>
        </w:rPr>
        <w:t>Išvados parengtos anglų kalba</w:t>
      </w:r>
    </w:p>
    <w:p w:rsidR="008F519B" w:rsidRPr="00BA6C5E" w:rsidRDefault="008F519B" w:rsidP="00317AA5">
      <w:pPr>
        <w:spacing w:line="240" w:lineRule="auto"/>
        <w:rPr>
          <w:lang w:val="en-GB"/>
        </w:rPr>
      </w:pPr>
      <w:r w:rsidRPr="00BA6C5E">
        <w:rPr>
          <w:lang w:val="en-GB"/>
        </w:rPr>
        <w:t>Report language - English</w:t>
      </w:r>
    </w:p>
    <w:p w:rsidR="008F519B" w:rsidRPr="00BA6C5E" w:rsidRDefault="008F519B" w:rsidP="000223D5">
      <w:pPr>
        <w:spacing w:line="240" w:lineRule="auto"/>
      </w:pPr>
      <w:r w:rsidRPr="00BA6C5E">
        <w:br w:type="page"/>
      </w:r>
    </w:p>
    <w:p w:rsidR="008F519B" w:rsidRPr="00BA6C5E" w:rsidRDefault="008F519B" w:rsidP="006D4BA2">
      <w:pPr>
        <w:spacing w:line="240" w:lineRule="auto"/>
        <w:jc w:val="center"/>
      </w:pPr>
      <w:r w:rsidRPr="00BA6C5E">
        <w:rPr>
          <w:b/>
        </w:rPr>
        <w:t xml:space="preserve">INFORMATION ON EVALUATED STUDY </w:t>
      </w:r>
      <w:r>
        <w:rPr>
          <w:b/>
        </w:rPr>
        <w:t>PROGRAM</w:t>
      </w:r>
    </w:p>
    <w:p w:rsidR="008F519B" w:rsidRPr="00BA6C5E" w:rsidRDefault="008F519B" w:rsidP="000223D5">
      <w:pPr>
        <w:spacing w:line="240" w:lineRule="auto"/>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8F519B" w:rsidRPr="00BA6C5E" w:rsidTr="00521AF3">
        <w:trPr>
          <w:cantSplit/>
          <w:trHeight w:hRule="exact" w:val="397"/>
          <w:jc w:val="center"/>
        </w:trPr>
        <w:tc>
          <w:tcPr>
            <w:tcW w:w="4479" w:type="dxa"/>
            <w:vAlign w:val="center"/>
          </w:tcPr>
          <w:p w:rsidR="008F519B" w:rsidRPr="00521AF3" w:rsidRDefault="008F519B" w:rsidP="00521AF3">
            <w:pPr>
              <w:spacing w:line="240" w:lineRule="auto"/>
              <w:jc w:val="left"/>
              <w:rPr>
                <w:color w:val="000000"/>
                <w:lang w:val="en-GB"/>
              </w:rPr>
            </w:pPr>
            <w:r w:rsidRPr="00521AF3">
              <w:rPr>
                <w:color w:val="000000"/>
                <w:lang w:val="en-GB"/>
              </w:rPr>
              <w:t>Name of the study program</w:t>
            </w:r>
          </w:p>
        </w:tc>
        <w:tc>
          <w:tcPr>
            <w:tcW w:w="4876" w:type="dxa"/>
            <w:vAlign w:val="center"/>
          </w:tcPr>
          <w:p w:rsidR="008F519B" w:rsidRPr="00521AF3" w:rsidRDefault="008F519B" w:rsidP="00521AF3">
            <w:pPr>
              <w:spacing w:line="240" w:lineRule="auto"/>
              <w:jc w:val="left"/>
              <w:rPr>
                <w:b/>
                <w:i/>
                <w:color w:val="000000"/>
                <w:lang w:val="en-GB"/>
              </w:rPr>
            </w:pPr>
            <w:r w:rsidRPr="00521AF3">
              <w:rPr>
                <w:b/>
                <w:i/>
                <w:color w:val="000000"/>
                <w:lang w:val="en-GB"/>
              </w:rPr>
              <w:t>Music</w:t>
            </w:r>
          </w:p>
        </w:tc>
      </w:tr>
      <w:tr w:rsidR="008F519B" w:rsidRPr="00BA6C5E" w:rsidTr="00521AF3">
        <w:trPr>
          <w:cantSplit/>
          <w:trHeight w:hRule="exact" w:val="397"/>
          <w:jc w:val="center"/>
        </w:trPr>
        <w:tc>
          <w:tcPr>
            <w:tcW w:w="4479" w:type="dxa"/>
            <w:vAlign w:val="center"/>
          </w:tcPr>
          <w:p w:rsidR="008F519B" w:rsidRPr="00521AF3" w:rsidRDefault="008F519B" w:rsidP="00521AF3">
            <w:pPr>
              <w:spacing w:line="240" w:lineRule="auto"/>
              <w:jc w:val="left"/>
              <w:rPr>
                <w:color w:val="000000"/>
                <w:lang w:val="en-GB"/>
              </w:rPr>
            </w:pPr>
            <w:r w:rsidRPr="00521AF3">
              <w:rPr>
                <w:color w:val="000000"/>
                <w:lang w:val="en-GB"/>
              </w:rPr>
              <w:t>State code</w:t>
            </w:r>
          </w:p>
        </w:tc>
        <w:tc>
          <w:tcPr>
            <w:tcW w:w="4876" w:type="dxa"/>
            <w:vAlign w:val="center"/>
          </w:tcPr>
          <w:p w:rsidR="008F519B" w:rsidRPr="00521AF3" w:rsidRDefault="008F519B" w:rsidP="00521AF3">
            <w:pPr>
              <w:spacing w:line="240" w:lineRule="auto"/>
              <w:jc w:val="left"/>
              <w:rPr>
                <w:color w:val="000000"/>
                <w:lang w:val="en-GB"/>
              </w:rPr>
            </w:pPr>
            <w:r w:rsidRPr="00BA6C5E">
              <w:t>61201M109</w:t>
            </w:r>
          </w:p>
        </w:tc>
      </w:tr>
      <w:tr w:rsidR="008F519B" w:rsidRPr="00BA6C5E" w:rsidTr="00521AF3">
        <w:trPr>
          <w:cantSplit/>
          <w:trHeight w:hRule="exact" w:val="397"/>
          <w:jc w:val="center"/>
        </w:trPr>
        <w:tc>
          <w:tcPr>
            <w:tcW w:w="4479" w:type="dxa"/>
            <w:vAlign w:val="center"/>
          </w:tcPr>
          <w:p w:rsidR="008F519B" w:rsidRPr="00521AF3" w:rsidRDefault="008F519B" w:rsidP="00521AF3">
            <w:pPr>
              <w:spacing w:line="240" w:lineRule="auto"/>
              <w:jc w:val="left"/>
              <w:rPr>
                <w:color w:val="000000"/>
                <w:lang w:val="en-GB"/>
              </w:rPr>
            </w:pPr>
            <w:r w:rsidRPr="00521AF3">
              <w:rPr>
                <w:color w:val="000000"/>
                <w:lang w:val="en-GB"/>
              </w:rPr>
              <w:t>Study area</w:t>
            </w:r>
          </w:p>
        </w:tc>
        <w:tc>
          <w:tcPr>
            <w:tcW w:w="4876" w:type="dxa"/>
            <w:vAlign w:val="center"/>
          </w:tcPr>
          <w:p w:rsidR="008F519B" w:rsidRPr="00521AF3" w:rsidRDefault="008F519B" w:rsidP="00521AF3">
            <w:pPr>
              <w:spacing w:line="240" w:lineRule="auto"/>
              <w:rPr>
                <w:color w:val="000000"/>
              </w:rPr>
            </w:pPr>
            <w:r w:rsidRPr="00521AF3">
              <w:rPr>
                <w:color w:val="000000"/>
                <w:lang w:val="en-GB"/>
              </w:rPr>
              <w:t>Arts</w:t>
            </w:r>
          </w:p>
        </w:tc>
      </w:tr>
      <w:tr w:rsidR="008F519B" w:rsidRPr="00BA6C5E" w:rsidTr="00521AF3">
        <w:trPr>
          <w:cantSplit/>
          <w:trHeight w:hRule="exact" w:val="397"/>
          <w:jc w:val="center"/>
        </w:trPr>
        <w:tc>
          <w:tcPr>
            <w:tcW w:w="4479" w:type="dxa"/>
            <w:vAlign w:val="center"/>
          </w:tcPr>
          <w:p w:rsidR="008F519B" w:rsidRPr="00521AF3" w:rsidRDefault="008F519B" w:rsidP="00521AF3">
            <w:pPr>
              <w:spacing w:line="240" w:lineRule="auto"/>
              <w:jc w:val="left"/>
              <w:rPr>
                <w:color w:val="000000"/>
                <w:lang w:val="en-GB"/>
              </w:rPr>
            </w:pPr>
            <w:r w:rsidRPr="00521AF3">
              <w:rPr>
                <w:color w:val="000000"/>
                <w:lang w:val="en-GB"/>
              </w:rPr>
              <w:t>Study field</w:t>
            </w:r>
          </w:p>
        </w:tc>
        <w:tc>
          <w:tcPr>
            <w:tcW w:w="4876" w:type="dxa"/>
            <w:vAlign w:val="center"/>
          </w:tcPr>
          <w:p w:rsidR="008F519B" w:rsidRPr="00521AF3" w:rsidRDefault="008F519B" w:rsidP="00521AF3">
            <w:pPr>
              <w:spacing w:line="240" w:lineRule="auto"/>
              <w:rPr>
                <w:color w:val="000000"/>
                <w:lang w:val="en-GB"/>
              </w:rPr>
            </w:pPr>
            <w:r w:rsidRPr="00521AF3">
              <w:rPr>
                <w:color w:val="000000"/>
                <w:lang w:val="en-GB"/>
              </w:rPr>
              <w:t>Music</w:t>
            </w:r>
          </w:p>
        </w:tc>
      </w:tr>
      <w:tr w:rsidR="008F519B" w:rsidRPr="00BA6C5E" w:rsidTr="00521AF3">
        <w:trPr>
          <w:cantSplit/>
          <w:trHeight w:hRule="exact" w:val="397"/>
          <w:jc w:val="center"/>
        </w:trPr>
        <w:tc>
          <w:tcPr>
            <w:tcW w:w="4479" w:type="dxa"/>
            <w:vAlign w:val="center"/>
          </w:tcPr>
          <w:p w:rsidR="008F519B" w:rsidRPr="00521AF3" w:rsidRDefault="008F519B" w:rsidP="00521AF3">
            <w:pPr>
              <w:spacing w:line="240" w:lineRule="auto"/>
              <w:jc w:val="left"/>
              <w:rPr>
                <w:color w:val="000000"/>
                <w:lang w:val="en-GB"/>
              </w:rPr>
            </w:pPr>
            <w:r w:rsidRPr="00521AF3">
              <w:rPr>
                <w:color w:val="000000"/>
                <w:lang w:val="en-GB"/>
              </w:rPr>
              <w:t>Kind of the study program</w:t>
            </w:r>
          </w:p>
        </w:tc>
        <w:tc>
          <w:tcPr>
            <w:tcW w:w="4876" w:type="dxa"/>
            <w:vAlign w:val="center"/>
          </w:tcPr>
          <w:p w:rsidR="008F519B" w:rsidRPr="00521AF3" w:rsidRDefault="008F519B" w:rsidP="00521AF3">
            <w:pPr>
              <w:spacing w:line="240" w:lineRule="auto"/>
              <w:jc w:val="left"/>
              <w:rPr>
                <w:color w:val="000000"/>
                <w:lang w:val="en-GB"/>
              </w:rPr>
            </w:pPr>
            <w:r w:rsidRPr="00521AF3">
              <w:rPr>
                <w:color w:val="000000"/>
                <w:lang w:val="en-GB"/>
              </w:rPr>
              <w:t>university studies</w:t>
            </w:r>
          </w:p>
        </w:tc>
      </w:tr>
      <w:tr w:rsidR="008F519B" w:rsidRPr="00BA6C5E" w:rsidTr="00521AF3">
        <w:trPr>
          <w:cantSplit/>
          <w:trHeight w:hRule="exact" w:val="397"/>
          <w:jc w:val="center"/>
        </w:trPr>
        <w:tc>
          <w:tcPr>
            <w:tcW w:w="4479" w:type="dxa"/>
            <w:vAlign w:val="center"/>
          </w:tcPr>
          <w:p w:rsidR="008F519B" w:rsidRPr="00521AF3" w:rsidRDefault="008F519B" w:rsidP="00521AF3">
            <w:pPr>
              <w:spacing w:line="240" w:lineRule="auto"/>
              <w:jc w:val="left"/>
              <w:rPr>
                <w:color w:val="000000"/>
                <w:lang w:val="en-GB"/>
              </w:rPr>
            </w:pPr>
            <w:r w:rsidRPr="00521AF3">
              <w:rPr>
                <w:color w:val="000000"/>
                <w:lang w:val="en-GB"/>
              </w:rPr>
              <w:t>Level of studies</w:t>
            </w:r>
          </w:p>
        </w:tc>
        <w:tc>
          <w:tcPr>
            <w:tcW w:w="4876" w:type="dxa"/>
            <w:vAlign w:val="center"/>
          </w:tcPr>
          <w:p w:rsidR="008F519B" w:rsidRPr="00521AF3" w:rsidRDefault="008F519B" w:rsidP="00521AF3">
            <w:pPr>
              <w:spacing w:line="240" w:lineRule="auto"/>
              <w:jc w:val="left"/>
              <w:rPr>
                <w:color w:val="000000"/>
                <w:lang w:val="en-GB"/>
              </w:rPr>
            </w:pPr>
            <w:r w:rsidRPr="00521AF3">
              <w:rPr>
                <w:color w:val="000000"/>
                <w:lang w:val="en-GB"/>
              </w:rPr>
              <w:t>First</w:t>
            </w:r>
          </w:p>
        </w:tc>
      </w:tr>
      <w:tr w:rsidR="008F519B" w:rsidRPr="00BA6C5E" w:rsidTr="00521AF3">
        <w:trPr>
          <w:cantSplit/>
          <w:trHeight w:hRule="exact" w:val="397"/>
          <w:jc w:val="center"/>
        </w:trPr>
        <w:tc>
          <w:tcPr>
            <w:tcW w:w="4479" w:type="dxa"/>
            <w:vAlign w:val="center"/>
          </w:tcPr>
          <w:p w:rsidR="008F519B" w:rsidRPr="00521AF3" w:rsidRDefault="008F519B" w:rsidP="00521AF3">
            <w:pPr>
              <w:spacing w:line="240" w:lineRule="auto"/>
              <w:jc w:val="left"/>
              <w:rPr>
                <w:color w:val="000000"/>
                <w:lang w:val="en-GB"/>
              </w:rPr>
            </w:pPr>
            <w:r w:rsidRPr="00521AF3">
              <w:rPr>
                <w:color w:val="000000"/>
                <w:lang w:val="en-GB"/>
              </w:rPr>
              <w:t>Study mode  (length in years)</w:t>
            </w:r>
          </w:p>
        </w:tc>
        <w:tc>
          <w:tcPr>
            <w:tcW w:w="4876" w:type="dxa"/>
            <w:vAlign w:val="center"/>
          </w:tcPr>
          <w:p w:rsidR="008F519B" w:rsidRPr="00521AF3" w:rsidRDefault="008F519B" w:rsidP="00521AF3">
            <w:pPr>
              <w:spacing w:line="240" w:lineRule="auto"/>
              <w:jc w:val="left"/>
              <w:rPr>
                <w:color w:val="000000"/>
                <w:lang w:val="en-GB"/>
              </w:rPr>
            </w:pPr>
            <w:r w:rsidRPr="00521AF3">
              <w:rPr>
                <w:color w:val="000000"/>
                <w:lang w:val="en-GB"/>
              </w:rPr>
              <w:t xml:space="preserve">full-time </w:t>
            </w:r>
          </w:p>
        </w:tc>
      </w:tr>
      <w:tr w:rsidR="008F519B" w:rsidRPr="00BA6C5E" w:rsidTr="00521AF3">
        <w:trPr>
          <w:cantSplit/>
          <w:trHeight w:hRule="exact" w:val="680"/>
          <w:jc w:val="center"/>
        </w:trPr>
        <w:tc>
          <w:tcPr>
            <w:tcW w:w="4479" w:type="dxa"/>
            <w:vAlign w:val="center"/>
          </w:tcPr>
          <w:p w:rsidR="008F519B" w:rsidRPr="00521AF3" w:rsidRDefault="008F519B" w:rsidP="00521AF3">
            <w:pPr>
              <w:spacing w:line="240" w:lineRule="auto"/>
              <w:jc w:val="left"/>
              <w:rPr>
                <w:color w:val="000000"/>
                <w:vertAlign w:val="superscript"/>
                <w:lang w:val="en-GB"/>
              </w:rPr>
            </w:pPr>
            <w:r w:rsidRPr="00521AF3">
              <w:rPr>
                <w:color w:val="000000"/>
                <w:lang w:val="en-GB"/>
              </w:rPr>
              <w:t>Scope of the study program in national credits</w:t>
            </w:r>
            <w:r w:rsidRPr="00521AF3">
              <w:rPr>
                <w:color w:val="000000"/>
                <w:vertAlign w:val="superscript"/>
                <w:lang w:val="en-GB"/>
              </w:rPr>
              <w:t>1</w:t>
            </w:r>
          </w:p>
        </w:tc>
        <w:tc>
          <w:tcPr>
            <w:tcW w:w="4876" w:type="dxa"/>
            <w:vAlign w:val="center"/>
          </w:tcPr>
          <w:p w:rsidR="008F519B" w:rsidRPr="00521AF3" w:rsidRDefault="008F519B" w:rsidP="00521AF3">
            <w:pPr>
              <w:spacing w:line="240" w:lineRule="auto"/>
              <w:jc w:val="left"/>
              <w:rPr>
                <w:color w:val="000000"/>
                <w:lang w:val="en-GB"/>
              </w:rPr>
            </w:pPr>
            <w:r w:rsidRPr="00521AF3">
              <w:rPr>
                <w:color w:val="000000"/>
                <w:lang w:val="en-GB"/>
              </w:rPr>
              <w:t>160 (national), 240 (ECTS)</w:t>
            </w:r>
          </w:p>
        </w:tc>
      </w:tr>
      <w:tr w:rsidR="008F519B" w:rsidRPr="00BA6C5E" w:rsidTr="00521AF3">
        <w:trPr>
          <w:cantSplit/>
          <w:trHeight w:hRule="exact" w:val="680"/>
          <w:jc w:val="center"/>
        </w:trPr>
        <w:tc>
          <w:tcPr>
            <w:tcW w:w="4479" w:type="dxa"/>
            <w:vAlign w:val="center"/>
          </w:tcPr>
          <w:p w:rsidR="008F519B" w:rsidRPr="00521AF3" w:rsidRDefault="008F519B" w:rsidP="00521AF3">
            <w:pPr>
              <w:spacing w:line="240" w:lineRule="auto"/>
              <w:jc w:val="left"/>
              <w:rPr>
                <w:color w:val="000000"/>
                <w:lang w:val="en-GB"/>
              </w:rPr>
            </w:pPr>
            <w:r w:rsidRPr="00521AF3">
              <w:rPr>
                <w:color w:val="000000"/>
                <w:lang w:val="en-GB"/>
              </w:rPr>
              <w:t>Degree and (or) professional qualifications awarded</w:t>
            </w:r>
          </w:p>
        </w:tc>
        <w:tc>
          <w:tcPr>
            <w:tcW w:w="4876" w:type="dxa"/>
            <w:vAlign w:val="center"/>
          </w:tcPr>
          <w:p w:rsidR="008F519B" w:rsidRPr="00521AF3" w:rsidRDefault="008F519B" w:rsidP="00521AF3">
            <w:pPr>
              <w:spacing w:line="240" w:lineRule="auto"/>
              <w:jc w:val="left"/>
              <w:rPr>
                <w:color w:val="000000"/>
                <w:lang w:val="en-GB"/>
              </w:rPr>
            </w:pPr>
            <w:r w:rsidRPr="00521AF3">
              <w:rPr>
                <w:color w:val="000000"/>
                <w:lang w:val="en-GB"/>
              </w:rPr>
              <w:t>bachelor of music, teacher</w:t>
            </w:r>
          </w:p>
        </w:tc>
      </w:tr>
      <w:tr w:rsidR="008F519B" w:rsidRPr="00BA6C5E" w:rsidTr="00521AF3">
        <w:trPr>
          <w:cantSplit/>
          <w:trHeight w:hRule="exact" w:val="397"/>
          <w:jc w:val="center"/>
        </w:trPr>
        <w:tc>
          <w:tcPr>
            <w:tcW w:w="4479" w:type="dxa"/>
            <w:vAlign w:val="center"/>
          </w:tcPr>
          <w:p w:rsidR="008F519B" w:rsidRPr="00521AF3" w:rsidRDefault="008F519B" w:rsidP="00521AF3">
            <w:pPr>
              <w:spacing w:line="240" w:lineRule="auto"/>
              <w:jc w:val="left"/>
              <w:rPr>
                <w:color w:val="000000"/>
                <w:lang w:val="en-GB"/>
              </w:rPr>
            </w:pPr>
            <w:r w:rsidRPr="00521AF3">
              <w:rPr>
                <w:color w:val="000000"/>
                <w:lang w:val="en-GB"/>
              </w:rPr>
              <w:t>Date of registration of the study program</w:t>
            </w:r>
          </w:p>
        </w:tc>
        <w:tc>
          <w:tcPr>
            <w:tcW w:w="4876" w:type="dxa"/>
            <w:vAlign w:val="center"/>
          </w:tcPr>
          <w:p w:rsidR="008F519B" w:rsidRPr="00521AF3" w:rsidRDefault="008F519B" w:rsidP="00521AF3">
            <w:pPr>
              <w:spacing w:line="240" w:lineRule="auto"/>
              <w:jc w:val="left"/>
              <w:rPr>
                <w:color w:val="000000"/>
                <w:lang w:val="en-GB"/>
              </w:rPr>
            </w:pPr>
            <w:r w:rsidRPr="00521AF3">
              <w:rPr>
                <w:color w:val="000000"/>
                <w:lang w:val="en-GB"/>
              </w:rPr>
              <w:t>1997-05-19, Nr. 565</w:t>
            </w:r>
          </w:p>
        </w:tc>
      </w:tr>
    </w:tbl>
    <w:p w:rsidR="008F519B" w:rsidRPr="00BA6C5E" w:rsidRDefault="008F519B" w:rsidP="000223D5">
      <w:pPr>
        <w:spacing w:line="240" w:lineRule="auto"/>
      </w:pPr>
    </w:p>
    <w:p w:rsidR="008F519B" w:rsidRPr="00BA6C5E" w:rsidRDefault="008F519B" w:rsidP="000235AB">
      <w:pPr>
        <w:spacing w:line="240" w:lineRule="auto"/>
        <w:jc w:val="left"/>
        <w:rPr>
          <w:color w:val="000000"/>
          <w:lang w:val="en-GB"/>
        </w:rPr>
      </w:pPr>
      <w:r w:rsidRPr="00BA6C5E">
        <w:rPr>
          <w:color w:val="000000"/>
          <w:vertAlign w:val="superscript"/>
          <w:lang w:val="en-GB"/>
        </w:rPr>
        <w:t>1</w:t>
      </w:r>
      <w:r w:rsidRPr="00BA6C5E">
        <w:rPr>
          <w:color w:val="000000"/>
          <w:lang w:val="en-GB"/>
        </w:rPr>
        <w:t xml:space="preserve"> – one credit is equal to 40 hours of student work</w:t>
      </w:r>
    </w:p>
    <w:p w:rsidR="008F519B" w:rsidRPr="00BA6C5E" w:rsidRDefault="008F519B" w:rsidP="00174068">
      <w:pPr>
        <w:pStyle w:val="Heading1"/>
        <w:rPr>
          <w:lang w:val="en-GB"/>
        </w:rPr>
      </w:pPr>
    </w:p>
    <w:p w:rsidR="008F519B" w:rsidRPr="00BA6C5E" w:rsidRDefault="008F519B" w:rsidP="000235AB">
      <w:pPr>
        <w:spacing w:line="240" w:lineRule="auto"/>
      </w:pPr>
    </w:p>
    <w:p w:rsidR="008F519B" w:rsidRPr="00BA6C5E" w:rsidRDefault="008F519B" w:rsidP="000235AB">
      <w:pPr>
        <w:spacing w:line="240" w:lineRule="auto"/>
      </w:pPr>
    </w:p>
    <w:tbl>
      <w:tblPr>
        <w:tblW w:w="0" w:type="auto"/>
        <w:tblLook w:val="01E0"/>
      </w:tblPr>
      <w:tblGrid>
        <w:gridCol w:w="460"/>
        <w:gridCol w:w="5557"/>
      </w:tblGrid>
      <w:tr w:rsidR="008F519B" w:rsidRPr="00BA6C5E" w:rsidTr="00521AF3">
        <w:tc>
          <w:tcPr>
            <w:tcW w:w="460" w:type="dxa"/>
            <w:vMerge w:val="restart"/>
            <w:vAlign w:val="center"/>
          </w:tcPr>
          <w:p w:rsidR="008F519B" w:rsidRPr="00BA6C5E" w:rsidRDefault="008F519B" w:rsidP="00174068">
            <w:r w:rsidRPr="00BA6C5E">
              <w:t>©</w:t>
            </w:r>
          </w:p>
        </w:tc>
        <w:tc>
          <w:tcPr>
            <w:tcW w:w="5557" w:type="dxa"/>
          </w:tcPr>
          <w:p w:rsidR="008F519B" w:rsidRPr="00BA6C5E" w:rsidRDefault="008F519B" w:rsidP="00174068">
            <w:r w:rsidRPr="00BA6C5E">
              <w:t>Studijų kokybės vertinimo centras</w:t>
            </w:r>
          </w:p>
        </w:tc>
      </w:tr>
      <w:tr w:rsidR="008F519B" w:rsidRPr="00BA6C5E" w:rsidTr="00521AF3">
        <w:tc>
          <w:tcPr>
            <w:tcW w:w="460" w:type="dxa"/>
            <w:vMerge/>
          </w:tcPr>
          <w:p w:rsidR="008F519B" w:rsidRPr="00BA6C5E" w:rsidRDefault="008F519B" w:rsidP="00174068"/>
        </w:tc>
        <w:tc>
          <w:tcPr>
            <w:tcW w:w="5557" w:type="dxa"/>
          </w:tcPr>
          <w:p w:rsidR="008F519B" w:rsidRPr="00BA6C5E" w:rsidRDefault="008F519B" w:rsidP="00174068">
            <w:r w:rsidRPr="00BA6C5E">
              <w:t>Centre for Quality Assessment in Higher Education</w:t>
            </w:r>
          </w:p>
        </w:tc>
      </w:tr>
    </w:tbl>
    <w:p w:rsidR="008F519B" w:rsidRPr="00BA6C5E" w:rsidRDefault="008F519B" w:rsidP="00174068">
      <w:pPr>
        <w:pStyle w:val="Heading1"/>
      </w:pPr>
    </w:p>
    <w:p w:rsidR="008F519B" w:rsidRPr="00BA6C5E" w:rsidRDefault="008F519B" w:rsidP="00174068">
      <w:pPr>
        <w:pStyle w:val="Heading1"/>
        <w:rPr>
          <w:lang w:val="en-GB"/>
        </w:rPr>
      </w:pPr>
      <w:r w:rsidRPr="00BA6C5E">
        <w:br w:type="page"/>
      </w:r>
      <w:bookmarkStart w:id="1" w:name="_Toc278292995"/>
      <w:r w:rsidRPr="00BA6C5E">
        <w:t>CONTENTS</w:t>
      </w:r>
      <w:bookmarkEnd w:id="1"/>
    </w:p>
    <w:p w:rsidR="008F519B" w:rsidRPr="00BA6C5E" w:rsidRDefault="008F519B" w:rsidP="00FB52E6">
      <w:pPr>
        <w:rPr>
          <w:lang w:val="en-GB"/>
        </w:rPr>
      </w:pPr>
    </w:p>
    <w:p w:rsidR="008F519B" w:rsidRDefault="008F519B">
      <w:pPr>
        <w:pStyle w:val="TOC1"/>
        <w:rPr>
          <w:noProof/>
          <w:lang w:eastAsia="lt-LT"/>
        </w:rPr>
      </w:pPr>
      <w:r>
        <w:rPr>
          <w:b/>
        </w:rPr>
        <w:fldChar w:fldCharType="begin"/>
      </w:r>
      <w:r>
        <w:rPr>
          <w:b/>
        </w:rPr>
        <w:instrText xml:space="preserve"> TOC \o "1-3" \h \z \u </w:instrText>
      </w:r>
      <w:r>
        <w:rPr>
          <w:b/>
        </w:rPr>
        <w:fldChar w:fldCharType="separate"/>
      </w:r>
      <w:hyperlink w:anchor="_Toc278292995" w:history="1">
        <w:r w:rsidRPr="009503F3">
          <w:rPr>
            <w:rStyle w:val="Hyperlink"/>
            <w:noProof/>
          </w:rPr>
          <w:t>CONTENTS</w:t>
        </w:r>
        <w:r>
          <w:rPr>
            <w:noProof/>
            <w:webHidden/>
          </w:rPr>
          <w:tab/>
        </w:r>
        <w:r>
          <w:rPr>
            <w:noProof/>
            <w:webHidden/>
          </w:rPr>
          <w:fldChar w:fldCharType="begin"/>
        </w:r>
        <w:r>
          <w:rPr>
            <w:noProof/>
            <w:webHidden/>
          </w:rPr>
          <w:instrText xml:space="preserve"> PAGEREF _Toc278292995 \h </w:instrText>
        </w:r>
        <w:r>
          <w:rPr>
            <w:noProof/>
            <w:webHidden/>
          </w:rPr>
        </w:r>
        <w:r>
          <w:rPr>
            <w:noProof/>
            <w:webHidden/>
          </w:rPr>
          <w:fldChar w:fldCharType="separate"/>
        </w:r>
        <w:r>
          <w:rPr>
            <w:noProof/>
            <w:webHidden/>
          </w:rPr>
          <w:t>3</w:t>
        </w:r>
        <w:r>
          <w:rPr>
            <w:noProof/>
            <w:webHidden/>
          </w:rPr>
          <w:fldChar w:fldCharType="end"/>
        </w:r>
      </w:hyperlink>
    </w:p>
    <w:p w:rsidR="008F519B" w:rsidRDefault="008F519B">
      <w:pPr>
        <w:pStyle w:val="TOC1"/>
        <w:rPr>
          <w:noProof/>
          <w:lang w:eastAsia="lt-LT"/>
        </w:rPr>
      </w:pPr>
      <w:hyperlink w:anchor="_Toc278292996" w:history="1">
        <w:r w:rsidRPr="009503F3">
          <w:rPr>
            <w:rStyle w:val="Hyperlink"/>
            <w:noProof/>
          </w:rPr>
          <w:t>I. INTRODUCTION</w:t>
        </w:r>
        <w:r>
          <w:rPr>
            <w:noProof/>
            <w:webHidden/>
          </w:rPr>
          <w:tab/>
        </w:r>
        <w:r>
          <w:rPr>
            <w:noProof/>
            <w:webHidden/>
          </w:rPr>
          <w:fldChar w:fldCharType="begin"/>
        </w:r>
        <w:r>
          <w:rPr>
            <w:noProof/>
            <w:webHidden/>
          </w:rPr>
          <w:instrText xml:space="preserve"> PAGEREF _Toc278292996 \h </w:instrText>
        </w:r>
        <w:r>
          <w:rPr>
            <w:noProof/>
            <w:webHidden/>
          </w:rPr>
        </w:r>
        <w:r>
          <w:rPr>
            <w:noProof/>
            <w:webHidden/>
          </w:rPr>
          <w:fldChar w:fldCharType="separate"/>
        </w:r>
        <w:r>
          <w:rPr>
            <w:noProof/>
            <w:webHidden/>
          </w:rPr>
          <w:t>4</w:t>
        </w:r>
        <w:r>
          <w:rPr>
            <w:noProof/>
            <w:webHidden/>
          </w:rPr>
          <w:fldChar w:fldCharType="end"/>
        </w:r>
      </w:hyperlink>
    </w:p>
    <w:p w:rsidR="008F519B" w:rsidRDefault="008F519B">
      <w:pPr>
        <w:pStyle w:val="TOC1"/>
        <w:rPr>
          <w:noProof/>
          <w:lang w:eastAsia="lt-LT"/>
        </w:rPr>
      </w:pPr>
      <w:hyperlink w:anchor="_Toc278292997" w:history="1">
        <w:r w:rsidRPr="009503F3">
          <w:rPr>
            <w:rStyle w:val="Hyperlink"/>
            <w:noProof/>
            <w:lang w:val="en-GB"/>
          </w:rPr>
          <w:t>II. PROGRAM ANALYSIS</w:t>
        </w:r>
        <w:r>
          <w:rPr>
            <w:noProof/>
            <w:webHidden/>
          </w:rPr>
          <w:tab/>
        </w:r>
        <w:r>
          <w:rPr>
            <w:noProof/>
            <w:webHidden/>
          </w:rPr>
          <w:fldChar w:fldCharType="begin"/>
        </w:r>
        <w:r>
          <w:rPr>
            <w:noProof/>
            <w:webHidden/>
          </w:rPr>
          <w:instrText xml:space="preserve"> PAGEREF _Toc278292997 \h </w:instrText>
        </w:r>
        <w:r>
          <w:rPr>
            <w:noProof/>
            <w:webHidden/>
          </w:rPr>
        </w:r>
        <w:r>
          <w:rPr>
            <w:noProof/>
            <w:webHidden/>
          </w:rPr>
          <w:fldChar w:fldCharType="separate"/>
        </w:r>
        <w:r>
          <w:rPr>
            <w:noProof/>
            <w:webHidden/>
          </w:rPr>
          <w:t>4</w:t>
        </w:r>
        <w:r>
          <w:rPr>
            <w:noProof/>
            <w:webHidden/>
          </w:rPr>
          <w:fldChar w:fldCharType="end"/>
        </w:r>
      </w:hyperlink>
    </w:p>
    <w:p w:rsidR="008F519B" w:rsidRDefault="008F519B">
      <w:pPr>
        <w:pStyle w:val="TOC2"/>
        <w:tabs>
          <w:tab w:val="right" w:leader="dot" w:pos="9344"/>
        </w:tabs>
        <w:rPr>
          <w:noProof/>
          <w:lang w:eastAsia="lt-LT"/>
        </w:rPr>
      </w:pPr>
      <w:hyperlink w:anchor="_Toc278292998" w:history="1">
        <w:r w:rsidRPr="009503F3">
          <w:rPr>
            <w:rStyle w:val="Hyperlink"/>
            <w:noProof/>
          </w:rPr>
          <w:t>1. Program aims and learning outcomes</w:t>
        </w:r>
        <w:r>
          <w:rPr>
            <w:noProof/>
            <w:webHidden/>
          </w:rPr>
          <w:tab/>
        </w:r>
        <w:r>
          <w:rPr>
            <w:noProof/>
            <w:webHidden/>
          </w:rPr>
          <w:fldChar w:fldCharType="begin"/>
        </w:r>
        <w:r>
          <w:rPr>
            <w:noProof/>
            <w:webHidden/>
          </w:rPr>
          <w:instrText xml:space="preserve"> PAGEREF _Toc278292998 \h </w:instrText>
        </w:r>
        <w:r>
          <w:rPr>
            <w:noProof/>
            <w:webHidden/>
          </w:rPr>
        </w:r>
        <w:r>
          <w:rPr>
            <w:noProof/>
            <w:webHidden/>
          </w:rPr>
          <w:fldChar w:fldCharType="separate"/>
        </w:r>
        <w:r>
          <w:rPr>
            <w:noProof/>
            <w:webHidden/>
          </w:rPr>
          <w:t>4</w:t>
        </w:r>
        <w:r>
          <w:rPr>
            <w:noProof/>
            <w:webHidden/>
          </w:rPr>
          <w:fldChar w:fldCharType="end"/>
        </w:r>
      </w:hyperlink>
    </w:p>
    <w:p w:rsidR="008F519B" w:rsidRDefault="008F519B">
      <w:pPr>
        <w:pStyle w:val="TOC3"/>
        <w:tabs>
          <w:tab w:val="right" w:leader="dot" w:pos="9344"/>
        </w:tabs>
        <w:rPr>
          <w:noProof/>
          <w:lang w:eastAsia="lt-LT"/>
        </w:rPr>
      </w:pPr>
      <w:hyperlink w:anchor="_Toc278292999" w:history="1">
        <w:r w:rsidRPr="009503F3">
          <w:rPr>
            <w:rStyle w:val="Hyperlink"/>
            <w:noProof/>
          </w:rPr>
          <w:t>1.1. Program demand, purpose and aims</w:t>
        </w:r>
        <w:r>
          <w:rPr>
            <w:noProof/>
            <w:webHidden/>
          </w:rPr>
          <w:tab/>
        </w:r>
        <w:r>
          <w:rPr>
            <w:noProof/>
            <w:webHidden/>
          </w:rPr>
          <w:fldChar w:fldCharType="begin"/>
        </w:r>
        <w:r>
          <w:rPr>
            <w:noProof/>
            <w:webHidden/>
          </w:rPr>
          <w:instrText xml:space="preserve"> PAGEREF _Toc278292999 \h </w:instrText>
        </w:r>
        <w:r>
          <w:rPr>
            <w:noProof/>
            <w:webHidden/>
          </w:rPr>
        </w:r>
        <w:r>
          <w:rPr>
            <w:noProof/>
            <w:webHidden/>
          </w:rPr>
          <w:fldChar w:fldCharType="separate"/>
        </w:r>
        <w:r>
          <w:rPr>
            <w:noProof/>
            <w:webHidden/>
          </w:rPr>
          <w:t>4</w:t>
        </w:r>
        <w:r>
          <w:rPr>
            <w:noProof/>
            <w:webHidden/>
          </w:rPr>
          <w:fldChar w:fldCharType="end"/>
        </w:r>
      </w:hyperlink>
    </w:p>
    <w:p w:rsidR="008F519B" w:rsidRDefault="008F519B">
      <w:pPr>
        <w:pStyle w:val="TOC3"/>
        <w:tabs>
          <w:tab w:val="right" w:leader="dot" w:pos="9344"/>
        </w:tabs>
        <w:rPr>
          <w:noProof/>
          <w:lang w:eastAsia="lt-LT"/>
        </w:rPr>
      </w:pPr>
      <w:hyperlink w:anchor="_Toc278293000" w:history="1">
        <w:r w:rsidRPr="009503F3">
          <w:rPr>
            <w:rStyle w:val="Hyperlink"/>
            <w:noProof/>
          </w:rPr>
          <w:t>1.2. Learning outcomes of the program</w:t>
        </w:r>
        <w:r>
          <w:rPr>
            <w:noProof/>
            <w:webHidden/>
          </w:rPr>
          <w:tab/>
        </w:r>
        <w:r>
          <w:rPr>
            <w:noProof/>
            <w:webHidden/>
          </w:rPr>
          <w:fldChar w:fldCharType="begin"/>
        </w:r>
        <w:r>
          <w:rPr>
            <w:noProof/>
            <w:webHidden/>
          </w:rPr>
          <w:instrText xml:space="preserve"> PAGEREF _Toc278293000 \h </w:instrText>
        </w:r>
        <w:r>
          <w:rPr>
            <w:noProof/>
            <w:webHidden/>
          </w:rPr>
        </w:r>
        <w:r>
          <w:rPr>
            <w:noProof/>
            <w:webHidden/>
          </w:rPr>
          <w:fldChar w:fldCharType="separate"/>
        </w:r>
        <w:r>
          <w:rPr>
            <w:noProof/>
            <w:webHidden/>
          </w:rPr>
          <w:t>5</w:t>
        </w:r>
        <w:r>
          <w:rPr>
            <w:noProof/>
            <w:webHidden/>
          </w:rPr>
          <w:fldChar w:fldCharType="end"/>
        </w:r>
      </w:hyperlink>
    </w:p>
    <w:p w:rsidR="008F519B" w:rsidRDefault="008F519B">
      <w:pPr>
        <w:pStyle w:val="TOC2"/>
        <w:tabs>
          <w:tab w:val="right" w:leader="dot" w:pos="9344"/>
        </w:tabs>
        <w:rPr>
          <w:noProof/>
          <w:lang w:eastAsia="lt-LT"/>
        </w:rPr>
      </w:pPr>
      <w:hyperlink w:anchor="_Toc278293001" w:history="1">
        <w:r w:rsidRPr="009503F3">
          <w:rPr>
            <w:rStyle w:val="Hyperlink"/>
            <w:noProof/>
          </w:rPr>
          <w:t>2. Curriculum design</w:t>
        </w:r>
        <w:r>
          <w:rPr>
            <w:noProof/>
            <w:webHidden/>
          </w:rPr>
          <w:tab/>
        </w:r>
        <w:r>
          <w:rPr>
            <w:noProof/>
            <w:webHidden/>
          </w:rPr>
          <w:fldChar w:fldCharType="begin"/>
        </w:r>
        <w:r>
          <w:rPr>
            <w:noProof/>
            <w:webHidden/>
          </w:rPr>
          <w:instrText xml:space="preserve"> PAGEREF _Toc278293001 \h </w:instrText>
        </w:r>
        <w:r>
          <w:rPr>
            <w:noProof/>
            <w:webHidden/>
          </w:rPr>
        </w:r>
        <w:r>
          <w:rPr>
            <w:noProof/>
            <w:webHidden/>
          </w:rPr>
          <w:fldChar w:fldCharType="separate"/>
        </w:r>
        <w:r>
          <w:rPr>
            <w:noProof/>
            <w:webHidden/>
          </w:rPr>
          <w:t>5</w:t>
        </w:r>
        <w:r>
          <w:rPr>
            <w:noProof/>
            <w:webHidden/>
          </w:rPr>
          <w:fldChar w:fldCharType="end"/>
        </w:r>
      </w:hyperlink>
    </w:p>
    <w:p w:rsidR="008F519B" w:rsidRDefault="008F519B">
      <w:pPr>
        <w:pStyle w:val="TOC3"/>
        <w:tabs>
          <w:tab w:val="right" w:leader="dot" w:pos="9344"/>
        </w:tabs>
        <w:rPr>
          <w:noProof/>
          <w:lang w:eastAsia="lt-LT"/>
        </w:rPr>
      </w:pPr>
      <w:hyperlink w:anchor="_Toc278293002" w:history="1">
        <w:r w:rsidRPr="009503F3">
          <w:rPr>
            <w:rStyle w:val="Hyperlink"/>
            <w:noProof/>
          </w:rPr>
          <w:t>2.1. Program structure</w:t>
        </w:r>
        <w:r>
          <w:rPr>
            <w:noProof/>
            <w:webHidden/>
          </w:rPr>
          <w:tab/>
        </w:r>
        <w:r>
          <w:rPr>
            <w:noProof/>
            <w:webHidden/>
          </w:rPr>
          <w:fldChar w:fldCharType="begin"/>
        </w:r>
        <w:r>
          <w:rPr>
            <w:noProof/>
            <w:webHidden/>
          </w:rPr>
          <w:instrText xml:space="preserve"> PAGEREF _Toc278293002 \h </w:instrText>
        </w:r>
        <w:r>
          <w:rPr>
            <w:noProof/>
            <w:webHidden/>
          </w:rPr>
        </w:r>
        <w:r>
          <w:rPr>
            <w:noProof/>
            <w:webHidden/>
          </w:rPr>
          <w:fldChar w:fldCharType="separate"/>
        </w:r>
        <w:r>
          <w:rPr>
            <w:noProof/>
            <w:webHidden/>
          </w:rPr>
          <w:t>5</w:t>
        </w:r>
        <w:r>
          <w:rPr>
            <w:noProof/>
            <w:webHidden/>
          </w:rPr>
          <w:fldChar w:fldCharType="end"/>
        </w:r>
      </w:hyperlink>
    </w:p>
    <w:p w:rsidR="008F519B" w:rsidRDefault="008F519B">
      <w:pPr>
        <w:pStyle w:val="TOC3"/>
        <w:tabs>
          <w:tab w:val="right" w:leader="dot" w:pos="9344"/>
        </w:tabs>
        <w:rPr>
          <w:noProof/>
          <w:lang w:eastAsia="lt-LT"/>
        </w:rPr>
      </w:pPr>
      <w:hyperlink w:anchor="_Toc278293003" w:history="1">
        <w:r w:rsidRPr="009503F3">
          <w:rPr>
            <w:rStyle w:val="Hyperlink"/>
            <w:noProof/>
          </w:rPr>
          <w:t>2.2. Program content</w:t>
        </w:r>
        <w:r>
          <w:rPr>
            <w:noProof/>
            <w:webHidden/>
          </w:rPr>
          <w:tab/>
        </w:r>
        <w:r>
          <w:rPr>
            <w:noProof/>
            <w:webHidden/>
          </w:rPr>
          <w:fldChar w:fldCharType="begin"/>
        </w:r>
        <w:r>
          <w:rPr>
            <w:noProof/>
            <w:webHidden/>
          </w:rPr>
          <w:instrText xml:space="preserve"> PAGEREF _Toc278293003 \h </w:instrText>
        </w:r>
        <w:r>
          <w:rPr>
            <w:noProof/>
            <w:webHidden/>
          </w:rPr>
        </w:r>
        <w:r>
          <w:rPr>
            <w:noProof/>
            <w:webHidden/>
          </w:rPr>
          <w:fldChar w:fldCharType="separate"/>
        </w:r>
        <w:r>
          <w:rPr>
            <w:noProof/>
            <w:webHidden/>
          </w:rPr>
          <w:t>6</w:t>
        </w:r>
        <w:r>
          <w:rPr>
            <w:noProof/>
            <w:webHidden/>
          </w:rPr>
          <w:fldChar w:fldCharType="end"/>
        </w:r>
      </w:hyperlink>
    </w:p>
    <w:p w:rsidR="008F519B" w:rsidRDefault="008F519B">
      <w:pPr>
        <w:pStyle w:val="TOC2"/>
        <w:tabs>
          <w:tab w:val="right" w:leader="dot" w:pos="9344"/>
        </w:tabs>
        <w:rPr>
          <w:noProof/>
          <w:lang w:eastAsia="lt-LT"/>
        </w:rPr>
      </w:pPr>
      <w:hyperlink w:anchor="_Toc278293004" w:history="1">
        <w:r w:rsidRPr="009503F3">
          <w:rPr>
            <w:rStyle w:val="Hyperlink"/>
            <w:noProof/>
          </w:rPr>
          <w:t>3. Staff</w:t>
        </w:r>
        <w:r>
          <w:rPr>
            <w:noProof/>
            <w:webHidden/>
          </w:rPr>
          <w:tab/>
        </w:r>
        <w:r>
          <w:rPr>
            <w:noProof/>
            <w:webHidden/>
          </w:rPr>
          <w:fldChar w:fldCharType="begin"/>
        </w:r>
        <w:r>
          <w:rPr>
            <w:noProof/>
            <w:webHidden/>
          </w:rPr>
          <w:instrText xml:space="preserve"> PAGEREF _Toc278293004 \h </w:instrText>
        </w:r>
        <w:r>
          <w:rPr>
            <w:noProof/>
            <w:webHidden/>
          </w:rPr>
        </w:r>
        <w:r>
          <w:rPr>
            <w:noProof/>
            <w:webHidden/>
          </w:rPr>
          <w:fldChar w:fldCharType="separate"/>
        </w:r>
        <w:r>
          <w:rPr>
            <w:noProof/>
            <w:webHidden/>
          </w:rPr>
          <w:t>6</w:t>
        </w:r>
        <w:r>
          <w:rPr>
            <w:noProof/>
            <w:webHidden/>
          </w:rPr>
          <w:fldChar w:fldCharType="end"/>
        </w:r>
      </w:hyperlink>
    </w:p>
    <w:p w:rsidR="008F519B" w:rsidRDefault="008F519B">
      <w:pPr>
        <w:pStyle w:val="TOC3"/>
        <w:tabs>
          <w:tab w:val="right" w:leader="dot" w:pos="9344"/>
        </w:tabs>
        <w:rPr>
          <w:noProof/>
          <w:lang w:eastAsia="lt-LT"/>
        </w:rPr>
      </w:pPr>
      <w:hyperlink w:anchor="_Toc278293005" w:history="1">
        <w:r w:rsidRPr="009503F3">
          <w:rPr>
            <w:rStyle w:val="Hyperlink"/>
            <w:noProof/>
          </w:rPr>
          <w:t>3.1. Staff composition and turnover</w:t>
        </w:r>
        <w:r>
          <w:rPr>
            <w:noProof/>
            <w:webHidden/>
          </w:rPr>
          <w:tab/>
        </w:r>
        <w:r>
          <w:rPr>
            <w:noProof/>
            <w:webHidden/>
          </w:rPr>
          <w:fldChar w:fldCharType="begin"/>
        </w:r>
        <w:r>
          <w:rPr>
            <w:noProof/>
            <w:webHidden/>
          </w:rPr>
          <w:instrText xml:space="preserve"> PAGEREF _Toc278293005 \h </w:instrText>
        </w:r>
        <w:r>
          <w:rPr>
            <w:noProof/>
            <w:webHidden/>
          </w:rPr>
        </w:r>
        <w:r>
          <w:rPr>
            <w:noProof/>
            <w:webHidden/>
          </w:rPr>
          <w:fldChar w:fldCharType="separate"/>
        </w:r>
        <w:r>
          <w:rPr>
            <w:noProof/>
            <w:webHidden/>
          </w:rPr>
          <w:t>6</w:t>
        </w:r>
        <w:r>
          <w:rPr>
            <w:noProof/>
            <w:webHidden/>
          </w:rPr>
          <w:fldChar w:fldCharType="end"/>
        </w:r>
      </w:hyperlink>
    </w:p>
    <w:p w:rsidR="008F519B" w:rsidRDefault="008F519B">
      <w:pPr>
        <w:pStyle w:val="TOC3"/>
        <w:tabs>
          <w:tab w:val="right" w:leader="dot" w:pos="9344"/>
        </w:tabs>
        <w:rPr>
          <w:noProof/>
          <w:lang w:eastAsia="lt-LT"/>
        </w:rPr>
      </w:pPr>
      <w:hyperlink w:anchor="_Toc278293006" w:history="1">
        <w:r w:rsidRPr="009503F3">
          <w:rPr>
            <w:rStyle w:val="Hyperlink"/>
            <w:noProof/>
          </w:rPr>
          <w:t>3.2. Staff competence</w:t>
        </w:r>
        <w:r>
          <w:rPr>
            <w:noProof/>
            <w:webHidden/>
          </w:rPr>
          <w:tab/>
        </w:r>
        <w:r>
          <w:rPr>
            <w:noProof/>
            <w:webHidden/>
          </w:rPr>
          <w:fldChar w:fldCharType="begin"/>
        </w:r>
        <w:r>
          <w:rPr>
            <w:noProof/>
            <w:webHidden/>
          </w:rPr>
          <w:instrText xml:space="preserve"> PAGEREF _Toc278293006 \h </w:instrText>
        </w:r>
        <w:r>
          <w:rPr>
            <w:noProof/>
            <w:webHidden/>
          </w:rPr>
        </w:r>
        <w:r>
          <w:rPr>
            <w:noProof/>
            <w:webHidden/>
          </w:rPr>
          <w:fldChar w:fldCharType="separate"/>
        </w:r>
        <w:r>
          <w:rPr>
            <w:noProof/>
            <w:webHidden/>
          </w:rPr>
          <w:t>7</w:t>
        </w:r>
        <w:r>
          <w:rPr>
            <w:noProof/>
            <w:webHidden/>
          </w:rPr>
          <w:fldChar w:fldCharType="end"/>
        </w:r>
      </w:hyperlink>
    </w:p>
    <w:p w:rsidR="008F519B" w:rsidRDefault="008F519B">
      <w:pPr>
        <w:pStyle w:val="TOC2"/>
        <w:tabs>
          <w:tab w:val="right" w:leader="dot" w:pos="9344"/>
        </w:tabs>
        <w:rPr>
          <w:noProof/>
          <w:lang w:eastAsia="lt-LT"/>
        </w:rPr>
      </w:pPr>
      <w:hyperlink w:anchor="_Toc278293007" w:history="1">
        <w:r w:rsidRPr="009503F3">
          <w:rPr>
            <w:rStyle w:val="Hyperlink"/>
            <w:noProof/>
          </w:rPr>
          <w:t>4. Facilities and learning resources</w:t>
        </w:r>
        <w:r>
          <w:rPr>
            <w:noProof/>
            <w:webHidden/>
          </w:rPr>
          <w:tab/>
        </w:r>
        <w:r>
          <w:rPr>
            <w:noProof/>
            <w:webHidden/>
          </w:rPr>
          <w:fldChar w:fldCharType="begin"/>
        </w:r>
        <w:r>
          <w:rPr>
            <w:noProof/>
            <w:webHidden/>
          </w:rPr>
          <w:instrText xml:space="preserve"> PAGEREF _Toc278293007 \h </w:instrText>
        </w:r>
        <w:r>
          <w:rPr>
            <w:noProof/>
            <w:webHidden/>
          </w:rPr>
        </w:r>
        <w:r>
          <w:rPr>
            <w:noProof/>
            <w:webHidden/>
          </w:rPr>
          <w:fldChar w:fldCharType="separate"/>
        </w:r>
        <w:r>
          <w:rPr>
            <w:noProof/>
            <w:webHidden/>
          </w:rPr>
          <w:t>7</w:t>
        </w:r>
        <w:r>
          <w:rPr>
            <w:noProof/>
            <w:webHidden/>
          </w:rPr>
          <w:fldChar w:fldCharType="end"/>
        </w:r>
      </w:hyperlink>
    </w:p>
    <w:p w:rsidR="008F519B" w:rsidRDefault="008F519B">
      <w:pPr>
        <w:pStyle w:val="TOC3"/>
        <w:tabs>
          <w:tab w:val="right" w:leader="dot" w:pos="9344"/>
        </w:tabs>
        <w:rPr>
          <w:noProof/>
          <w:lang w:eastAsia="lt-LT"/>
        </w:rPr>
      </w:pPr>
      <w:hyperlink w:anchor="_Toc278293008" w:history="1">
        <w:r w:rsidRPr="009503F3">
          <w:rPr>
            <w:rStyle w:val="Hyperlink"/>
            <w:noProof/>
          </w:rPr>
          <w:t>4.1. Facilities</w:t>
        </w:r>
        <w:r>
          <w:rPr>
            <w:noProof/>
            <w:webHidden/>
          </w:rPr>
          <w:tab/>
        </w:r>
        <w:r>
          <w:rPr>
            <w:noProof/>
            <w:webHidden/>
          </w:rPr>
          <w:fldChar w:fldCharType="begin"/>
        </w:r>
        <w:r>
          <w:rPr>
            <w:noProof/>
            <w:webHidden/>
          </w:rPr>
          <w:instrText xml:space="preserve"> PAGEREF _Toc278293008 \h </w:instrText>
        </w:r>
        <w:r>
          <w:rPr>
            <w:noProof/>
            <w:webHidden/>
          </w:rPr>
        </w:r>
        <w:r>
          <w:rPr>
            <w:noProof/>
            <w:webHidden/>
          </w:rPr>
          <w:fldChar w:fldCharType="separate"/>
        </w:r>
        <w:r>
          <w:rPr>
            <w:noProof/>
            <w:webHidden/>
          </w:rPr>
          <w:t>7</w:t>
        </w:r>
        <w:r>
          <w:rPr>
            <w:noProof/>
            <w:webHidden/>
          </w:rPr>
          <w:fldChar w:fldCharType="end"/>
        </w:r>
      </w:hyperlink>
    </w:p>
    <w:p w:rsidR="008F519B" w:rsidRDefault="008F519B">
      <w:pPr>
        <w:pStyle w:val="TOC3"/>
        <w:tabs>
          <w:tab w:val="right" w:leader="dot" w:pos="9344"/>
        </w:tabs>
        <w:rPr>
          <w:noProof/>
          <w:lang w:eastAsia="lt-LT"/>
        </w:rPr>
      </w:pPr>
      <w:hyperlink w:anchor="_Toc278293009" w:history="1">
        <w:r w:rsidRPr="009503F3">
          <w:rPr>
            <w:rStyle w:val="Hyperlink"/>
            <w:noProof/>
          </w:rPr>
          <w:t>4.2. Learning resources</w:t>
        </w:r>
        <w:r>
          <w:rPr>
            <w:noProof/>
            <w:webHidden/>
          </w:rPr>
          <w:tab/>
        </w:r>
        <w:r>
          <w:rPr>
            <w:noProof/>
            <w:webHidden/>
          </w:rPr>
          <w:fldChar w:fldCharType="begin"/>
        </w:r>
        <w:r>
          <w:rPr>
            <w:noProof/>
            <w:webHidden/>
          </w:rPr>
          <w:instrText xml:space="preserve"> PAGEREF _Toc278293009 \h </w:instrText>
        </w:r>
        <w:r>
          <w:rPr>
            <w:noProof/>
            <w:webHidden/>
          </w:rPr>
        </w:r>
        <w:r>
          <w:rPr>
            <w:noProof/>
            <w:webHidden/>
          </w:rPr>
          <w:fldChar w:fldCharType="separate"/>
        </w:r>
        <w:r>
          <w:rPr>
            <w:noProof/>
            <w:webHidden/>
          </w:rPr>
          <w:t>9</w:t>
        </w:r>
        <w:r>
          <w:rPr>
            <w:noProof/>
            <w:webHidden/>
          </w:rPr>
          <w:fldChar w:fldCharType="end"/>
        </w:r>
      </w:hyperlink>
    </w:p>
    <w:p w:rsidR="008F519B" w:rsidRDefault="008F519B">
      <w:pPr>
        <w:pStyle w:val="TOC2"/>
        <w:tabs>
          <w:tab w:val="right" w:leader="dot" w:pos="9344"/>
        </w:tabs>
        <w:rPr>
          <w:noProof/>
          <w:lang w:eastAsia="lt-LT"/>
        </w:rPr>
      </w:pPr>
      <w:hyperlink w:anchor="_Toc278293010" w:history="1">
        <w:r w:rsidRPr="009503F3">
          <w:rPr>
            <w:rStyle w:val="Hyperlink"/>
            <w:noProof/>
          </w:rPr>
          <w:t>5. Study process and student assessment</w:t>
        </w:r>
        <w:r>
          <w:rPr>
            <w:noProof/>
            <w:webHidden/>
          </w:rPr>
          <w:tab/>
        </w:r>
        <w:r>
          <w:rPr>
            <w:noProof/>
            <w:webHidden/>
          </w:rPr>
          <w:fldChar w:fldCharType="begin"/>
        </w:r>
        <w:r>
          <w:rPr>
            <w:noProof/>
            <w:webHidden/>
          </w:rPr>
          <w:instrText xml:space="preserve"> PAGEREF _Toc278293010 \h </w:instrText>
        </w:r>
        <w:r>
          <w:rPr>
            <w:noProof/>
            <w:webHidden/>
          </w:rPr>
        </w:r>
        <w:r>
          <w:rPr>
            <w:noProof/>
            <w:webHidden/>
          </w:rPr>
          <w:fldChar w:fldCharType="separate"/>
        </w:r>
        <w:r>
          <w:rPr>
            <w:noProof/>
            <w:webHidden/>
          </w:rPr>
          <w:t>9</w:t>
        </w:r>
        <w:r>
          <w:rPr>
            <w:noProof/>
            <w:webHidden/>
          </w:rPr>
          <w:fldChar w:fldCharType="end"/>
        </w:r>
      </w:hyperlink>
    </w:p>
    <w:p w:rsidR="008F519B" w:rsidRDefault="008F519B">
      <w:pPr>
        <w:pStyle w:val="TOC3"/>
        <w:tabs>
          <w:tab w:val="right" w:leader="dot" w:pos="9344"/>
        </w:tabs>
        <w:rPr>
          <w:noProof/>
          <w:lang w:eastAsia="lt-LT"/>
        </w:rPr>
      </w:pPr>
      <w:hyperlink w:anchor="_Toc278293011" w:history="1">
        <w:r w:rsidRPr="009503F3">
          <w:rPr>
            <w:rStyle w:val="Hyperlink"/>
            <w:noProof/>
          </w:rPr>
          <w:t>5.1. Student admission</w:t>
        </w:r>
        <w:r>
          <w:rPr>
            <w:noProof/>
            <w:webHidden/>
          </w:rPr>
          <w:tab/>
        </w:r>
        <w:r>
          <w:rPr>
            <w:noProof/>
            <w:webHidden/>
          </w:rPr>
          <w:fldChar w:fldCharType="begin"/>
        </w:r>
        <w:r>
          <w:rPr>
            <w:noProof/>
            <w:webHidden/>
          </w:rPr>
          <w:instrText xml:space="preserve"> PAGEREF _Toc278293011 \h </w:instrText>
        </w:r>
        <w:r>
          <w:rPr>
            <w:noProof/>
            <w:webHidden/>
          </w:rPr>
        </w:r>
        <w:r>
          <w:rPr>
            <w:noProof/>
            <w:webHidden/>
          </w:rPr>
          <w:fldChar w:fldCharType="separate"/>
        </w:r>
        <w:r>
          <w:rPr>
            <w:noProof/>
            <w:webHidden/>
          </w:rPr>
          <w:t>9</w:t>
        </w:r>
        <w:r>
          <w:rPr>
            <w:noProof/>
            <w:webHidden/>
          </w:rPr>
          <w:fldChar w:fldCharType="end"/>
        </w:r>
      </w:hyperlink>
    </w:p>
    <w:p w:rsidR="008F519B" w:rsidRDefault="008F519B">
      <w:pPr>
        <w:pStyle w:val="TOC3"/>
        <w:tabs>
          <w:tab w:val="right" w:leader="dot" w:pos="9344"/>
        </w:tabs>
        <w:rPr>
          <w:noProof/>
          <w:lang w:eastAsia="lt-LT"/>
        </w:rPr>
      </w:pPr>
      <w:hyperlink w:anchor="_Toc278293012" w:history="1">
        <w:r w:rsidRPr="009503F3">
          <w:rPr>
            <w:rStyle w:val="Hyperlink"/>
            <w:noProof/>
          </w:rPr>
          <w:t>5.2. Study process</w:t>
        </w:r>
        <w:r>
          <w:rPr>
            <w:noProof/>
            <w:webHidden/>
          </w:rPr>
          <w:tab/>
        </w:r>
        <w:r>
          <w:rPr>
            <w:noProof/>
            <w:webHidden/>
          </w:rPr>
          <w:fldChar w:fldCharType="begin"/>
        </w:r>
        <w:r>
          <w:rPr>
            <w:noProof/>
            <w:webHidden/>
          </w:rPr>
          <w:instrText xml:space="preserve"> PAGEREF _Toc278293012 \h </w:instrText>
        </w:r>
        <w:r>
          <w:rPr>
            <w:noProof/>
            <w:webHidden/>
          </w:rPr>
        </w:r>
        <w:r>
          <w:rPr>
            <w:noProof/>
            <w:webHidden/>
          </w:rPr>
          <w:fldChar w:fldCharType="separate"/>
        </w:r>
        <w:r>
          <w:rPr>
            <w:noProof/>
            <w:webHidden/>
          </w:rPr>
          <w:t>10</w:t>
        </w:r>
        <w:r>
          <w:rPr>
            <w:noProof/>
            <w:webHidden/>
          </w:rPr>
          <w:fldChar w:fldCharType="end"/>
        </w:r>
      </w:hyperlink>
    </w:p>
    <w:p w:rsidR="008F519B" w:rsidRDefault="008F519B">
      <w:pPr>
        <w:pStyle w:val="TOC3"/>
        <w:tabs>
          <w:tab w:val="right" w:leader="dot" w:pos="9344"/>
        </w:tabs>
        <w:rPr>
          <w:noProof/>
          <w:lang w:eastAsia="lt-LT"/>
        </w:rPr>
      </w:pPr>
      <w:hyperlink w:anchor="_Toc278293013" w:history="1">
        <w:r w:rsidRPr="009503F3">
          <w:rPr>
            <w:rStyle w:val="Hyperlink"/>
            <w:noProof/>
          </w:rPr>
          <w:t>5.3. Student support</w:t>
        </w:r>
        <w:r>
          <w:rPr>
            <w:noProof/>
            <w:webHidden/>
          </w:rPr>
          <w:tab/>
        </w:r>
        <w:r>
          <w:rPr>
            <w:noProof/>
            <w:webHidden/>
          </w:rPr>
          <w:fldChar w:fldCharType="begin"/>
        </w:r>
        <w:r>
          <w:rPr>
            <w:noProof/>
            <w:webHidden/>
          </w:rPr>
          <w:instrText xml:space="preserve"> PAGEREF _Toc278293013 \h </w:instrText>
        </w:r>
        <w:r>
          <w:rPr>
            <w:noProof/>
            <w:webHidden/>
          </w:rPr>
        </w:r>
        <w:r>
          <w:rPr>
            <w:noProof/>
            <w:webHidden/>
          </w:rPr>
          <w:fldChar w:fldCharType="separate"/>
        </w:r>
        <w:r>
          <w:rPr>
            <w:noProof/>
            <w:webHidden/>
          </w:rPr>
          <w:t>10</w:t>
        </w:r>
        <w:r>
          <w:rPr>
            <w:noProof/>
            <w:webHidden/>
          </w:rPr>
          <w:fldChar w:fldCharType="end"/>
        </w:r>
      </w:hyperlink>
    </w:p>
    <w:p w:rsidR="008F519B" w:rsidRDefault="008F519B">
      <w:pPr>
        <w:pStyle w:val="TOC3"/>
        <w:tabs>
          <w:tab w:val="right" w:leader="dot" w:pos="9344"/>
        </w:tabs>
        <w:rPr>
          <w:noProof/>
          <w:lang w:eastAsia="lt-LT"/>
        </w:rPr>
      </w:pPr>
      <w:hyperlink w:anchor="_Toc278293014" w:history="1">
        <w:r w:rsidRPr="009503F3">
          <w:rPr>
            <w:rStyle w:val="Hyperlink"/>
            <w:noProof/>
          </w:rPr>
          <w:t>5.4. Student achievement assessment</w:t>
        </w:r>
        <w:r>
          <w:rPr>
            <w:noProof/>
            <w:webHidden/>
          </w:rPr>
          <w:tab/>
        </w:r>
        <w:r>
          <w:rPr>
            <w:noProof/>
            <w:webHidden/>
          </w:rPr>
          <w:fldChar w:fldCharType="begin"/>
        </w:r>
        <w:r>
          <w:rPr>
            <w:noProof/>
            <w:webHidden/>
          </w:rPr>
          <w:instrText xml:space="preserve"> PAGEREF _Toc278293014 \h </w:instrText>
        </w:r>
        <w:r>
          <w:rPr>
            <w:noProof/>
            <w:webHidden/>
          </w:rPr>
        </w:r>
        <w:r>
          <w:rPr>
            <w:noProof/>
            <w:webHidden/>
          </w:rPr>
          <w:fldChar w:fldCharType="separate"/>
        </w:r>
        <w:r>
          <w:rPr>
            <w:noProof/>
            <w:webHidden/>
          </w:rPr>
          <w:t>11</w:t>
        </w:r>
        <w:r>
          <w:rPr>
            <w:noProof/>
            <w:webHidden/>
          </w:rPr>
          <w:fldChar w:fldCharType="end"/>
        </w:r>
      </w:hyperlink>
    </w:p>
    <w:p w:rsidR="008F519B" w:rsidRDefault="008F519B">
      <w:pPr>
        <w:pStyle w:val="TOC3"/>
        <w:tabs>
          <w:tab w:val="right" w:leader="dot" w:pos="9344"/>
        </w:tabs>
        <w:rPr>
          <w:noProof/>
          <w:lang w:eastAsia="lt-LT"/>
        </w:rPr>
      </w:pPr>
      <w:hyperlink w:anchor="_Toc278293015" w:history="1">
        <w:r w:rsidRPr="009503F3">
          <w:rPr>
            <w:rStyle w:val="Hyperlink"/>
            <w:noProof/>
          </w:rPr>
          <w:t>5.5. Graduates placement</w:t>
        </w:r>
        <w:r>
          <w:rPr>
            <w:noProof/>
            <w:webHidden/>
          </w:rPr>
          <w:tab/>
        </w:r>
        <w:r>
          <w:rPr>
            <w:noProof/>
            <w:webHidden/>
          </w:rPr>
          <w:fldChar w:fldCharType="begin"/>
        </w:r>
        <w:r>
          <w:rPr>
            <w:noProof/>
            <w:webHidden/>
          </w:rPr>
          <w:instrText xml:space="preserve"> PAGEREF _Toc278293015 \h </w:instrText>
        </w:r>
        <w:r>
          <w:rPr>
            <w:noProof/>
            <w:webHidden/>
          </w:rPr>
        </w:r>
        <w:r>
          <w:rPr>
            <w:noProof/>
            <w:webHidden/>
          </w:rPr>
          <w:fldChar w:fldCharType="separate"/>
        </w:r>
        <w:r>
          <w:rPr>
            <w:noProof/>
            <w:webHidden/>
          </w:rPr>
          <w:t>12</w:t>
        </w:r>
        <w:r>
          <w:rPr>
            <w:noProof/>
            <w:webHidden/>
          </w:rPr>
          <w:fldChar w:fldCharType="end"/>
        </w:r>
      </w:hyperlink>
    </w:p>
    <w:p w:rsidR="008F519B" w:rsidRDefault="008F519B">
      <w:pPr>
        <w:pStyle w:val="TOC2"/>
        <w:tabs>
          <w:tab w:val="right" w:leader="dot" w:pos="9344"/>
        </w:tabs>
        <w:rPr>
          <w:noProof/>
          <w:lang w:eastAsia="lt-LT"/>
        </w:rPr>
      </w:pPr>
      <w:hyperlink w:anchor="_Toc278293016" w:history="1">
        <w:r w:rsidRPr="009503F3">
          <w:rPr>
            <w:rStyle w:val="Hyperlink"/>
            <w:noProof/>
          </w:rPr>
          <w:t>6. Program management</w:t>
        </w:r>
        <w:r>
          <w:rPr>
            <w:noProof/>
            <w:webHidden/>
          </w:rPr>
          <w:tab/>
        </w:r>
        <w:r>
          <w:rPr>
            <w:noProof/>
            <w:webHidden/>
          </w:rPr>
          <w:fldChar w:fldCharType="begin"/>
        </w:r>
        <w:r>
          <w:rPr>
            <w:noProof/>
            <w:webHidden/>
          </w:rPr>
          <w:instrText xml:space="preserve"> PAGEREF _Toc278293016 \h </w:instrText>
        </w:r>
        <w:r>
          <w:rPr>
            <w:noProof/>
            <w:webHidden/>
          </w:rPr>
        </w:r>
        <w:r>
          <w:rPr>
            <w:noProof/>
            <w:webHidden/>
          </w:rPr>
          <w:fldChar w:fldCharType="separate"/>
        </w:r>
        <w:r>
          <w:rPr>
            <w:noProof/>
            <w:webHidden/>
          </w:rPr>
          <w:t>12</w:t>
        </w:r>
        <w:r>
          <w:rPr>
            <w:noProof/>
            <w:webHidden/>
          </w:rPr>
          <w:fldChar w:fldCharType="end"/>
        </w:r>
      </w:hyperlink>
    </w:p>
    <w:p w:rsidR="008F519B" w:rsidRDefault="008F519B">
      <w:pPr>
        <w:pStyle w:val="TOC3"/>
        <w:tabs>
          <w:tab w:val="right" w:leader="dot" w:pos="9344"/>
        </w:tabs>
        <w:rPr>
          <w:noProof/>
          <w:lang w:eastAsia="lt-LT"/>
        </w:rPr>
      </w:pPr>
      <w:hyperlink w:anchor="_Toc278293017" w:history="1">
        <w:r w:rsidRPr="009503F3">
          <w:rPr>
            <w:rStyle w:val="Hyperlink"/>
            <w:noProof/>
          </w:rPr>
          <w:t>6.1. Program administration</w:t>
        </w:r>
        <w:r>
          <w:rPr>
            <w:noProof/>
            <w:webHidden/>
          </w:rPr>
          <w:tab/>
        </w:r>
        <w:r>
          <w:rPr>
            <w:noProof/>
            <w:webHidden/>
          </w:rPr>
          <w:fldChar w:fldCharType="begin"/>
        </w:r>
        <w:r>
          <w:rPr>
            <w:noProof/>
            <w:webHidden/>
          </w:rPr>
          <w:instrText xml:space="preserve"> PAGEREF _Toc278293017 \h </w:instrText>
        </w:r>
        <w:r>
          <w:rPr>
            <w:noProof/>
            <w:webHidden/>
          </w:rPr>
        </w:r>
        <w:r>
          <w:rPr>
            <w:noProof/>
            <w:webHidden/>
          </w:rPr>
          <w:fldChar w:fldCharType="separate"/>
        </w:r>
        <w:r>
          <w:rPr>
            <w:noProof/>
            <w:webHidden/>
          </w:rPr>
          <w:t>12</w:t>
        </w:r>
        <w:r>
          <w:rPr>
            <w:noProof/>
            <w:webHidden/>
          </w:rPr>
          <w:fldChar w:fldCharType="end"/>
        </w:r>
      </w:hyperlink>
    </w:p>
    <w:p w:rsidR="008F519B" w:rsidRDefault="008F519B">
      <w:pPr>
        <w:pStyle w:val="TOC3"/>
        <w:tabs>
          <w:tab w:val="right" w:leader="dot" w:pos="9344"/>
        </w:tabs>
        <w:rPr>
          <w:noProof/>
          <w:lang w:eastAsia="lt-LT"/>
        </w:rPr>
      </w:pPr>
      <w:hyperlink w:anchor="_Toc278293018" w:history="1">
        <w:r w:rsidRPr="009503F3">
          <w:rPr>
            <w:rStyle w:val="Hyperlink"/>
            <w:noProof/>
          </w:rPr>
          <w:t>6.2. Internal quality assurance</w:t>
        </w:r>
        <w:r>
          <w:rPr>
            <w:noProof/>
            <w:webHidden/>
          </w:rPr>
          <w:tab/>
        </w:r>
        <w:r>
          <w:rPr>
            <w:noProof/>
            <w:webHidden/>
          </w:rPr>
          <w:fldChar w:fldCharType="begin"/>
        </w:r>
        <w:r>
          <w:rPr>
            <w:noProof/>
            <w:webHidden/>
          </w:rPr>
          <w:instrText xml:space="preserve"> PAGEREF _Toc278293018 \h </w:instrText>
        </w:r>
        <w:r>
          <w:rPr>
            <w:noProof/>
            <w:webHidden/>
          </w:rPr>
        </w:r>
        <w:r>
          <w:rPr>
            <w:noProof/>
            <w:webHidden/>
          </w:rPr>
          <w:fldChar w:fldCharType="separate"/>
        </w:r>
        <w:r>
          <w:rPr>
            <w:noProof/>
            <w:webHidden/>
          </w:rPr>
          <w:t>12</w:t>
        </w:r>
        <w:r>
          <w:rPr>
            <w:noProof/>
            <w:webHidden/>
          </w:rPr>
          <w:fldChar w:fldCharType="end"/>
        </w:r>
      </w:hyperlink>
    </w:p>
    <w:p w:rsidR="008F519B" w:rsidRDefault="008F519B">
      <w:pPr>
        <w:pStyle w:val="TOC1"/>
        <w:rPr>
          <w:noProof/>
          <w:lang w:eastAsia="lt-LT"/>
        </w:rPr>
      </w:pPr>
      <w:hyperlink w:anchor="_Toc278293019" w:history="1">
        <w:r w:rsidRPr="009503F3">
          <w:rPr>
            <w:rStyle w:val="Hyperlink"/>
            <w:noProof/>
          </w:rPr>
          <w:t>III. RECOMMENDATIONS</w:t>
        </w:r>
        <w:r>
          <w:rPr>
            <w:noProof/>
            <w:webHidden/>
          </w:rPr>
          <w:tab/>
        </w:r>
        <w:r>
          <w:rPr>
            <w:noProof/>
            <w:webHidden/>
          </w:rPr>
          <w:fldChar w:fldCharType="begin"/>
        </w:r>
        <w:r>
          <w:rPr>
            <w:noProof/>
            <w:webHidden/>
          </w:rPr>
          <w:instrText xml:space="preserve"> PAGEREF _Toc278293019 \h </w:instrText>
        </w:r>
        <w:r>
          <w:rPr>
            <w:noProof/>
            <w:webHidden/>
          </w:rPr>
        </w:r>
        <w:r>
          <w:rPr>
            <w:noProof/>
            <w:webHidden/>
          </w:rPr>
          <w:fldChar w:fldCharType="separate"/>
        </w:r>
        <w:r>
          <w:rPr>
            <w:noProof/>
            <w:webHidden/>
          </w:rPr>
          <w:t>13</w:t>
        </w:r>
        <w:r>
          <w:rPr>
            <w:noProof/>
            <w:webHidden/>
          </w:rPr>
          <w:fldChar w:fldCharType="end"/>
        </w:r>
      </w:hyperlink>
    </w:p>
    <w:p w:rsidR="008F519B" w:rsidRDefault="008F519B">
      <w:pPr>
        <w:pStyle w:val="TOC1"/>
        <w:rPr>
          <w:noProof/>
          <w:lang w:eastAsia="lt-LT"/>
        </w:rPr>
      </w:pPr>
      <w:hyperlink w:anchor="_Toc278293020" w:history="1">
        <w:r w:rsidRPr="009503F3">
          <w:rPr>
            <w:rStyle w:val="Hyperlink"/>
            <w:noProof/>
          </w:rPr>
          <w:t>IV. GENERAL ASSESSMENT</w:t>
        </w:r>
        <w:r>
          <w:rPr>
            <w:noProof/>
            <w:webHidden/>
          </w:rPr>
          <w:tab/>
        </w:r>
        <w:r>
          <w:rPr>
            <w:noProof/>
            <w:webHidden/>
          </w:rPr>
          <w:fldChar w:fldCharType="begin"/>
        </w:r>
        <w:r>
          <w:rPr>
            <w:noProof/>
            <w:webHidden/>
          </w:rPr>
          <w:instrText xml:space="preserve"> PAGEREF _Toc278293020 \h </w:instrText>
        </w:r>
        <w:r>
          <w:rPr>
            <w:noProof/>
            <w:webHidden/>
          </w:rPr>
        </w:r>
        <w:r>
          <w:rPr>
            <w:noProof/>
            <w:webHidden/>
          </w:rPr>
          <w:fldChar w:fldCharType="separate"/>
        </w:r>
        <w:r>
          <w:rPr>
            <w:noProof/>
            <w:webHidden/>
          </w:rPr>
          <w:t>15</w:t>
        </w:r>
        <w:r>
          <w:rPr>
            <w:noProof/>
            <w:webHidden/>
          </w:rPr>
          <w:fldChar w:fldCharType="end"/>
        </w:r>
      </w:hyperlink>
    </w:p>
    <w:p w:rsidR="008F519B" w:rsidRPr="00BA6C5E" w:rsidRDefault="008F519B" w:rsidP="00174068">
      <w:pPr>
        <w:pStyle w:val="Heading1"/>
      </w:pPr>
      <w:r>
        <w:rPr>
          <w:b w:val="0"/>
        </w:rPr>
        <w:fldChar w:fldCharType="end"/>
      </w:r>
      <w:r w:rsidRPr="00BA6C5E">
        <w:br w:type="page"/>
      </w:r>
    </w:p>
    <w:p w:rsidR="008F519B" w:rsidRPr="00BA6C5E" w:rsidRDefault="008F519B" w:rsidP="00174068">
      <w:pPr>
        <w:pStyle w:val="Heading1"/>
      </w:pPr>
      <w:bookmarkStart w:id="2" w:name="_I._Introduction"/>
      <w:bookmarkStart w:id="3" w:name="_Toc278292996"/>
      <w:bookmarkEnd w:id="2"/>
      <w:r w:rsidRPr="00BA6C5E">
        <w:t>I. INTRODUCTION</w:t>
      </w:r>
      <w:bookmarkEnd w:id="3"/>
      <w:r w:rsidRPr="00BA6C5E">
        <w:t xml:space="preserve">  </w:t>
      </w:r>
    </w:p>
    <w:p w:rsidR="008F519B" w:rsidRPr="00BA6C5E" w:rsidRDefault="008F519B" w:rsidP="002B553C">
      <w:pPr>
        <w:spacing w:line="240" w:lineRule="auto"/>
        <w:rPr>
          <w:lang w:val="en-GB"/>
        </w:rPr>
      </w:pPr>
    </w:p>
    <w:p w:rsidR="008F519B" w:rsidRPr="00BA6C5E" w:rsidRDefault="008F519B" w:rsidP="002B553C">
      <w:pPr>
        <w:spacing w:line="240" w:lineRule="auto"/>
        <w:rPr>
          <w:lang w:val="en-GB"/>
        </w:rPr>
      </w:pPr>
      <w:r w:rsidRPr="00BA6C5E">
        <w:rPr>
          <w:lang w:val="en-GB"/>
        </w:rPr>
        <w:t>The visiting experts hand over this Evaluation Report, based on the Self-Assessment of the Music Bachelor Program in Vilnius submitted by the VPU and on information gathered during the site visit of September 2</w:t>
      </w:r>
      <w:r>
        <w:rPr>
          <w:lang w:val="en-GB"/>
        </w:rPr>
        <w:t>4</w:t>
      </w:r>
      <w:r w:rsidRPr="00BA6C5E">
        <w:rPr>
          <w:lang w:val="en-GB"/>
        </w:rPr>
        <w:t xml:space="preserve">, 2010 from the various bodies of the institution (administration, authors of the Self-Assessment report, staff, students, graduates and employers).  The experts found the SA clearly written with significant detail concerning the education and training of music students from recruitment and admission through the completion of studies. On behalf of the Association Européenne des Conservatoires, they thank the institutions submitting assessments for their welcome and the CQAHE for the careful preparation of the process. </w:t>
      </w:r>
    </w:p>
    <w:p w:rsidR="008F519B" w:rsidRPr="00BA6C5E" w:rsidRDefault="008F519B" w:rsidP="002B553C">
      <w:pPr>
        <w:spacing w:line="240" w:lineRule="auto"/>
        <w:rPr>
          <w:lang w:val="en-GB"/>
        </w:rPr>
      </w:pPr>
      <w:r w:rsidRPr="00BA6C5E">
        <w:rPr>
          <w:lang w:val="en-GB"/>
        </w:rPr>
        <w:t xml:space="preserve">The Introduction to the Music Bachelor program Self-Assessment Report  gives the visiting experts a clear picture of the organizational structure of the VPU in general and of the Self-Assessment process and its personnel in particular. The experts note the institution’s own recommendations for improvement as a result of this self-assessment effort and will comment on them in the course of this evaluation.  </w:t>
      </w:r>
    </w:p>
    <w:p w:rsidR="008F519B" w:rsidRPr="00BA6C5E" w:rsidRDefault="008F519B" w:rsidP="002F738B">
      <w:pPr>
        <w:spacing w:line="240" w:lineRule="auto"/>
        <w:ind w:left="360" w:hanging="360"/>
        <w:rPr>
          <w:color w:val="000000"/>
          <w:lang w:val="en-GB"/>
        </w:rPr>
      </w:pPr>
    </w:p>
    <w:p w:rsidR="008F519B" w:rsidRPr="00BA6C5E" w:rsidRDefault="008F519B" w:rsidP="00FB52E6">
      <w:pPr>
        <w:spacing w:line="240" w:lineRule="auto"/>
        <w:ind w:left="360"/>
        <w:rPr>
          <w:color w:val="000000"/>
          <w:lang w:val="en-GB"/>
        </w:rPr>
      </w:pPr>
      <w:r w:rsidRPr="00BA6C5E">
        <w:rPr>
          <w:color w:val="000000"/>
          <w:lang w:val="en-GB"/>
        </w:rPr>
        <w:tab/>
      </w:r>
    </w:p>
    <w:p w:rsidR="008F519B" w:rsidRPr="00BA6C5E" w:rsidRDefault="008F519B" w:rsidP="00174068">
      <w:pPr>
        <w:pStyle w:val="Heading1"/>
        <w:rPr>
          <w:lang w:val="en-GB"/>
        </w:rPr>
      </w:pPr>
      <w:bookmarkStart w:id="4" w:name="_II_Programme_analysis"/>
      <w:bookmarkStart w:id="5" w:name="_Toc278292997"/>
      <w:bookmarkEnd w:id="4"/>
      <w:r w:rsidRPr="00BA6C5E">
        <w:rPr>
          <w:lang w:val="en-GB"/>
        </w:rPr>
        <w:t xml:space="preserve">II. </w:t>
      </w:r>
      <w:r>
        <w:rPr>
          <w:lang w:val="en-GB"/>
        </w:rPr>
        <w:t>PROGRAM</w:t>
      </w:r>
      <w:r w:rsidRPr="00BA6C5E">
        <w:rPr>
          <w:lang w:val="en-GB"/>
        </w:rPr>
        <w:t xml:space="preserve"> ANALYSIS</w:t>
      </w:r>
      <w:bookmarkEnd w:id="5"/>
      <w:r w:rsidRPr="00BA6C5E">
        <w:rPr>
          <w:lang w:val="en-GB"/>
        </w:rPr>
        <w:t xml:space="preserve"> </w:t>
      </w:r>
    </w:p>
    <w:p w:rsidR="008F519B" w:rsidRPr="00BA6C5E" w:rsidRDefault="008F519B" w:rsidP="00174068">
      <w:pPr>
        <w:pStyle w:val="Heading2"/>
      </w:pPr>
      <w:bookmarkStart w:id="6" w:name="_1._Programme_aims_and_intended_lear"/>
      <w:bookmarkStart w:id="7" w:name="_Toc278292998"/>
      <w:bookmarkEnd w:id="6"/>
      <w:r w:rsidRPr="00BA6C5E">
        <w:t xml:space="preserve">1. </w:t>
      </w:r>
      <w:r>
        <w:t>Program</w:t>
      </w:r>
      <w:r w:rsidRPr="00BA6C5E">
        <w:t xml:space="preserve"> aims and learning outcomes</w:t>
      </w:r>
      <w:bookmarkEnd w:id="7"/>
      <w:r w:rsidRPr="00BA6C5E">
        <w:t xml:space="preserve">  </w:t>
      </w:r>
    </w:p>
    <w:p w:rsidR="008F519B" w:rsidRPr="00BA6C5E" w:rsidRDefault="008F519B" w:rsidP="00174068">
      <w:pPr>
        <w:pStyle w:val="Heading3"/>
      </w:pPr>
      <w:bookmarkStart w:id="8" w:name="_1.1._Demand,_purpose_and_aims_of_th"/>
      <w:bookmarkStart w:id="9" w:name="_Toc278292999"/>
      <w:bookmarkEnd w:id="8"/>
      <w:r w:rsidRPr="00BA6C5E">
        <w:t xml:space="preserve">1.1. </w:t>
      </w:r>
      <w:r>
        <w:t>Program</w:t>
      </w:r>
      <w:r w:rsidRPr="00BA6C5E">
        <w:t xml:space="preserve"> demand, purpose and aims</w:t>
      </w:r>
      <w:bookmarkEnd w:id="9"/>
      <w:r w:rsidRPr="00BA6C5E">
        <w:t xml:space="preserve"> </w:t>
      </w:r>
    </w:p>
    <w:p w:rsidR="008F519B" w:rsidRPr="00BA6C5E" w:rsidRDefault="008F519B" w:rsidP="005B7E8D">
      <w:pPr>
        <w:spacing w:line="240" w:lineRule="auto"/>
        <w:rPr>
          <w:i/>
          <w:lang w:val="en-GB"/>
        </w:rPr>
      </w:pPr>
      <w:r w:rsidRPr="00BA6C5E">
        <w:rPr>
          <w:i/>
          <w:lang w:val="en-GB"/>
        </w:rPr>
        <w:t xml:space="preserve">1.1.1. Uniqueness and rationale of the need for the </w:t>
      </w:r>
      <w:r>
        <w:rPr>
          <w:i/>
          <w:lang w:val="en-GB"/>
        </w:rPr>
        <w:t>program</w:t>
      </w:r>
      <w:r w:rsidRPr="00BA6C5E">
        <w:rPr>
          <w:i/>
          <w:lang w:val="en-GB"/>
        </w:rPr>
        <w:t xml:space="preserve"> </w:t>
      </w:r>
    </w:p>
    <w:p w:rsidR="008F519B" w:rsidRPr="00BA6C5E" w:rsidRDefault="008F519B" w:rsidP="005B7E8D">
      <w:pPr>
        <w:spacing w:line="240" w:lineRule="auto"/>
        <w:rPr>
          <w:color w:val="000000"/>
          <w:lang w:val="en-GB"/>
        </w:rPr>
      </w:pPr>
      <w:r w:rsidRPr="00BA6C5E">
        <w:rPr>
          <w:color w:val="000000"/>
          <w:lang w:val="en-GB"/>
        </w:rPr>
        <w:t xml:space="preserve">According to the Self-Assessment (SA) of the Music </w:t>
      </w:r>
      <w:r>
        <w:rPr>
          <w:color w:val="000000"/>
          <w:lang w:val="en-GB"/>
        </w:rPr>
        <w:t>program</w:t>
      </w:r>
      <w:r w:rsidRPr="00BA6C5E">
        <w:rPr>
          <w:color w:val="000000"/>
          <w:lang w:val="en-GB"/>
        </w:rPr>
        <w:t xml:space="preserve"> the </w:t>
      </w:r>
      <w:r w:rsidRPr="00BA6C5E">
        <w:rPr>
          <w:i/>
          <w:lang w:val="en-GB"/>
        </w:rPr>
        <w:t xml:space="preserve">VPU is the only university higher education institution in </w:t>
      </w:r>
      <w:smartTag w:uri="urn:schemas-microsoft-com:office:smarttags" w:element="country-region">
        <w:smartTag w:uri="urn:schemas-microsoft-com:office:smarttags" w:element="place">
          <w:r w:rsidRPr="00BA6C5E">
            <w:rPr>
              <w:i/>
              <w:lang w:val="en-GB"/>
            </w:rPr>
            <w:t>Lithuania</w:t>
          </w:r>
        </w:smartTag>
      </w:smartTag>
      <w:r w:rsidRPr="00BA6C5E">
        <w:rPr>
          <w:i/>
          <w:lang w:val="en-GB"/>
        </w:rPr>
        <w:t xml:space="preserve">, where teachers of all the kinds of arts (music, dance, theatre, fine arts) teachers are trained. The students of the study </w:t>
      </w:r>
      <w:r>
        <w:rPr>
          <w:i/>
          <w:lang w:val="en-GB"/>
        </w:rPr>
        <w:t>program</w:t>
      </w:r>
      <w:r w:rsidRPr="00BA6C5E">
        <w:rPr>
          <w:i/>
          <w:lang w:val="en-GB"/>
        </w:rPr>
        <w:t xml:space="preserve"> of Music have an exceptional possibility to acquire experience in integrated arts education through cooperation with students from other arts education </w:t>
      </w:r>
      <w:r>
        <w:rPr>
          <w:i/>
          <w:lang w:val="en-GB"/>
        </w:rPr>
        <w:t>program</w:t>
      </w:r>
      <w:r w:rsidRPr="00BA6C5E">
        <w:rPr>
          <w:i/>
          <w:lang w:val="en-GB"/>
        </w:rPr>
        <w:t>s preparing joint projects</w:t>
      </w:r>
      <w:r w:rsidRPr="00BA6C5E">
        <w:rPr>
          <w:lang w:val="en-GB"/>
        </w:rPr>
        <w:t xml:space="preserve">. Although there are three other institutions where similar </w:t>
      </w:r>
      <w:r>
        <w:rPr>
          <w:lang w:val="en-GB"/>
        </w:rPr>
        <w:t>program</w:t>
      </w:r>
      <w:r w:rsidRPr="00BA6C5E">
        <w:rPr>
          <w:lang w:val="en-GB"/>
        </w:rPr>
        <w:t xml:space="preserve">s are held in Lithuania (Music Pedagogy – ŠU and KU, General Music Didactics – LMTA), </w:t>
      </w:r>
      <w:r>
        <w:rPr>
          <w:lang w:val="en-GB"/>
        </w:rPr>
        <w:t xml:space="preserve">the </w:t>
      </w:r>
      <w:r w:rsidRPr="00BA6C5E">
        <w:rPr>
          <w:lang w:val="en-GB"/>
        </w:rPr>
        <w:t xml:space="preserve">visiting experts agree with </w:t>
      </w:r>
      <w:r>
        <w:rPr>
          <w:lang w:val="en-GB"/>
        </w:rPr>
        <w:t xml:space="preserve">the </w:t>
      </w:r>
      <w:r w:rsidRPr="00BA6C5E">
        <w:rPr>
          <w:lang w:val="en-GB"/>
        </w:rPr>
        <w:t xml:space="preserve">SA </w:t>
      </w:r>
      <w:r>
        <w:rPr>
          <w:lang w:val="en-GB"/>
        </w:rPr>
        <w:t>noting</w:t>
      </w:r>
      <w:r w:rsidRPr="00BA6C5E">
        <w:rPr>
          <w:lang w:val="en-GB"/>
        </w:rPr>
        <w:t xml:space="preserve"> that </w:t>
      </w:r>
      <w:r w:rsidRPr="00BA6C5E">
        <w:rPr>
          <w:i/>
          <w:lang w:val="en-GB"/>
        </w:rPr>
        <w:t xml:space="preserve">the study </w:t>
      </w:r>
      <w:r>
        <w:rPr>
          <w:i/>
          <w:lang w:val="en-GB"/>
        </w:rPr>
        <w:t>program</w:t>
      </w:r>
      <w:r w:rsidRPr="00BA6C5E">
        <w:rPr>
          <w:i/>
          <w:lang w:val="en-GB"/>
        </w:rPr>
        <w:t xml:space="preserve"> of Music, VPU, differs from other study </w:t>
      </w:r>
      <w:r>
        <w:rPr>
          <w:i/>
          <w:lang w:val="en-GB"/>
        </w:rPr>
        <w:t>program</w:t>
      </w:r>
      <w:r w:rsidRPr="00BA6C5E">
        <w:rPr>
          <w:i/>
          <w:lang w:val="en-GB"/>
        </w:rPr>
        <w:t>s in its focus on deeper psychological pedagogical training, conditioned by educational profile of VPU.</w:t>
      </w:r>
      <w:r w:rsidRPr="00BA6C5E">
        <w:rPr>
          <w:color w:val="000000"/>
          <w:lang w:val="en-GB"/>
        </w:rPr>
        <w:t xml:space="preserve"> </w:t>
      </w:r>
      <w:r>
        <w:rPr>
          <w:color w:val="000000"/>
          <w:lang w:val="en-GB"/>
        </w:rPr>
        <w:t xml:space="preserve">The VPU </w:t>
      </w:r>
      <w:r w:rsidRPr="00BA6C5E">
        <w:rPr>
          <w:color w:val="000000"/>
          <w:lang w:val="en-GB"/>
        </w:rPr>
        <w:t xml:space="preserve">Music </w:t>
      </w:r>
      <w:r>
        <w:rPr>
          <w:color w:val="000000"/>
          <w:lang w:val="en-GB"/>
        </w:rPr>
        <w:t>program</w:t>
      </w:r>
      <w:r w:rsidRPr="00BA6C5E">
        <w:rPr>
          <w:color w:val="000000"/>
          <w:lang w:val="en-GB"/>
        </w:rPr>
        <w:t xml:space="preserve"> is understood as </w:t>
      </w:r>
      <w:r>
        <w:rPr>
          <w:color w:val="000000"/>
          <w:lang w:val="en-GB"/>
        </w:rPr>
        <w:t>a program</w:t>
      </w:r>
      <w:r w:rsidRPr="00BA6C5E">
        <w:rPr>
          <w:color w:val="000000"/>
          <w:lang w:val="en-GB"/>
        </w:rPr>
        <w:t xml:space="preserve"> f</w:t>
      </w:r>
      <w:r>
        <w:rPr>
          <w:color w:val="000000"/>
          <w:lang w:val="en-GB"/>
        </w:rPr>
        <w:t xml:space="preserve">or school music teachers and </w:t>
      </w:r>
      <w:r w:rsidRPr="00BA6C5E">
        <w:rPr>
          <w:color w:val="000000"/>
          <w:lang w:val="en-GB"/>
        </w:rPr>
        <w:t>is differ</w:t>
      </w:r>
      <w:r>
        <w:rPr>
          <w:color w:val="000000"/>
          <w:lang w:val="en-GB"/>
        </w:rPr>
        <w:t>s</w:t>
      </w:r>
      <w:r w:rsidRPr="00BA6C5E">
        <w:rPr>
          <w:color w:val="000000"/>
          <w:lang w:val="en-GB"/>
        </w:rPr>
        <w:t xml:space="preserve"> from </w:t>
      </w:r>
      <w:r>
        <w:rPr>
          <w:color w:val="000000"/>
          <w:lang w:val="en-GB"/>
        </w:rPr>
        <w:t xml:space="preserve">the </w:t>
      </w:r>
      <w:r w:rsidRPr="00BA6C5E">
        <w:rPr>
          <w:color w:val="000000"/>
          <w:lang w:val="en-GB"/>
        </w:rPr>
        <w:t xml:space="preserve">LMTA General Music Didactics and Music Pedagogy </w:t>
      </w:r>
      <w:r>
        <w:rPr>
          <w:color w:val="000000"/>
          <w:lang w:val="en-GB"/>
        </w:rPr>
        <w:t>program</w:t>
      </w:r>
      <w:r w:rsidRPr="00BA6C5E">
        <w:rPr>
          <w:color w:val="000000"/>
          <w:lang w:val="en-GB"/>
        </w:rPr>
        <w:t xml:space="preserve">s where instrument or vocal teachers for special music schools or higher schools (conservatoires) are prepared. The deep background in methodological and practical experience, </w:t>
      </w:r>
      <w:r>
        <w:rPr>
          <w:color w:val="000000"/>
          <w:lang w:val="en-GB"/>
        </w:rPr>
        <w:t xml:space="preserve">the </w:t>
      </w:r>
      <w:r w:rsidRPr="00BA6C5E">
        <w:rPr>
          <w:color w:val="000000"/>
          <w:lang w:val="en-GB"/>
        </w:rPr>
        <w:t>creativity in educational process</w:t>
      </w:r>
      <w:r>
        <w:rPr>
          <w:color w:val="000000"/>
          <w:lang w:val="en-GB"/>
        </w:rPr>
        <w:t xml:space="preserve"> and the</w:t>
      </w:r>
      <w:r w:rsidRPr="00BA6C5E">
        <w:rPr>
          <w:color w:val="000000"/>
          <w:lang w:val="en-GB"/>
        </w:rPr>
        <w:t xml:space="preserve"> wide range of learned instruments are </w:t>
      </w:r>
      <w:r>
        <w:rPr>
          <w:color w:val="000000"/>
          <w:lang w:val="en-GB"/>
        </w:rPr>
        <w:t>the strong aspects</w:t>
      </w:r>
      <w:r w:rsidRPr="00BA6C5E">
        <w:rPr>
          <w:color w:val="000000"/>
          <w:lang w:val="en-GB"/>
        </w:rPr>
        <w:t xml:space="preserve"> of th</w:t>
      </w:r>
      <w:r>
        <w:rPr>
          <w:color w:val="000000"/>
          <w:lang w:val="en-GB"/>
        </w:rPr>
        <w:t>is</w:t>
      </w:r>
      <w:r w:rsidRPr="00BA6C5E">
        <w:rPr>
          <w:color w:val="000000"/>
          <w:lang w:val="en-GB"/>
        </w:rPr>
        <w:t xml:space="preserve"> </w:t>
      </w:r>
      <w:r>
        <w:rPr>
          <w:color w:val="000000"/>
          <w:lang w:val="en-GB"/>
        </w:rPr>
        <w:t>program</w:t>
      </w:r>
      <w:r w:rsidRPr="00BA6C5E">
        <w:rPr>
          <w:color w:val="000000"/>
          <w:lang w:val="en-GB"/>
        </w:rPr>
        <w:t xml:space="preserve">. </w:t>
      </w:r>
      <w:r>
        <w:rPr>
          <w:color w:val="000000"/>
          <w:lang w:val="en-GB"/>
        </w:rPr>
        <w:t>The h</w:t>
      </w:r>
      <w:r w:rsidRPr="00BA6C5E">
        <w:rPr>
          <w:color w:val="000000"/>
          <w:lang w:val="en-GB"/>
        </w:rPr>
        <w:t xml:space="preserve">igh number of applicants shows </w:t>
      </w:r>
      <w:r>
        <w:rPr>
          <w:color w:val="000000"/>
          <w:lang w:val="en-GB"/>
        </w:rPr>
        <w:t xml:space="preserve">its </w:t>
      </w:r>
      <w:r w:rsidRPr="00BA6C5E">
        <w:rPr>
          <w:color w:val="000000"/>
          <w:lang w:val="en-GB"/>
        </w:rPr>
        <w:t>popularity</w:t>
      </w:r>
      <w:r>
        <w:rPr>
          <w:color w:val="000000"/>
          <w:lang w:val="en-GB"/>
        </w:rPr>
        <w:t>, and the positive feedback</w:t>
      </w:r>
      <w:r w:rsidRPr="00BA6C5E">
        <w:rPr>
          <w:color w:val="000000"/>
          <w:lang w:val="en-GB"/>
        </w:rPr>
        <w:t xml:space="preserve"> of social partners (employers, school</w:t>
      </w:r>
      <w:r>
        <w:rPr>
          <w:color w:val="000000"/>
          <w:lang w:val="en-GB"/>
        </w:rPr>
        <w:t>s leaders</w:t>
      </w:r>
      <w:r w:rsidRPr="00BA6C5E">
        <w:rPr>
          <w:color w:val="000000"/>
          <w:lang w:val="en-GB"/>
        </w:rPr>
        <w:t>, parents) show</w:t>
      </w:r>
      <w:r>
        <w:rPr>
          <w:color w:val="000000"/>
          <w:lang w:val="en-GB"/>
        </w:rPr>
        <w:t>s</w:t>
      </w:r>
      <w:r w:rsidRPr="00BA6C5E">
        <w:rPr>
          <w:color w:val="000000"/>
          <w:lang w:val="en-GB"/>
        </w:rPr>
        <w:t xml:space="preserve"> </w:t>
      </w:r>
      <w:r>
        <w:rPr>
          <w:color w:val="000000"/>
          <w:lang w:val="en-GB"/>
        </w:rPr>
        <w:t xml:space="preserve">its necessity </w:t>
      </w:r>
      <w:r w:rsidRPr="00BA6C5E">
        <w:rPr>
          <w:color w:val="000000"/>
          <w:lang w:val="en-GB"/>
        </w:rPr>
        <w:t>and confirm</w:t>
      </w:r>
      <w:r>
        <w:rPr>
          <w:color w:val="000000"/>
          <w:lang w:val="en-GB"/>
        </w:rPr>
        <w:t>s</w:t>
      </w:r>
      <w:r w:rsidRPr="00BA6C5E">
        <w:rPr>
          <w:color w:val="000000"/>
          <w:lang w:val="en-GB"/>
        </w:rPr>
        <w:t xml:space="preserve"> </w:t>
      </w:r>
      <w:r>
        <w:rPr>
          <w:color w:val="000000"/>
          <w:lang w:val="en-GB"/>
        </w:rPr>
        <w:t>its</w:t>
      </w:r>
      <w:r w:rsidRPr="00BA6C5E">
        <w:rPr>
          <w:color w:val="000000"/>
          <w:lang w:val="en-GB"/>
        </w:rPr>
        <w:t xml:space="preserve"> rational subject structure.</w:t>
      </w:r>
    </w:p>
    <w:p w:rsidR="008F519B" w:rsidRPr="00BA6C5E" w:rsidRDefault="008F519B" w:rsidP="00FB52E6">
      <w:pPr>
        <w:spacing w:line="240" w:lineRule="auto"/>
        <w:ind w:firstLine="360"/>
        <w:rPr>
          <w:color w:val="000000"/>
          <w:lang w:val="en-GB"/>
        </w:rPr>
      </w:pPr>
      <w:r w:rsidRPr="00BA6C5E">
        <w:rPr>
          <w:color w:val="000000"/>
          <w:lang w:val="en-GB"/>
        </w:rPr>
        <w:t xml:space="preserve"> </w:t>
      </w:r>
    </w:p>
    <w:p w:rsidR="008F519B" w:rsidRPr="00BA6C5E" w:rsidRDefault="008F519B" w:rsidP="00E02512">
      <w:pPr>
        <w:spacing w:line="240" w:lineRule="auto"/>
        <w:rPr>
          <w:i/>
          <w:lang w:val="en-GB"/>
        </w:rPr>
      </w:pPr>
      <w:r w:rsidRPr="00BA6C5E">
        <w:rPr>
          <w:i/>
          <w:lang w:val="en-GB"/>
        </w:rPr>
        <w:t xml:space="preserve">1.1.2. Conformity of the </w:t>
      </w:r>
      <w:r>
        <w:rPr>
          <w:i/>
          <w:lang w:val="en-GB"/>
        </w:rPr>
        <w:t>program</w:t>
      </w:r>
      <w:r w:rsidRPr="00BA6C5E">
        <w:rPr>
          <w:i/>
          <w:lang w:val="en-GB"/>
        </w:rPr>
        <w:t xml:space="preserve"> purpose with institutional, state and international directives</w:t>
      </w:r>
    </w:p>
    <w:p w:rsidR="008F519B" w:rsidRPr="00BA6C5E" w:rsidRDefault="008F519B" w:rsidP="00E02512">
      <w:pPr>
        <w:spacing w:line="240" w:lineRule="auto"/>
        <w:rPr>
          <w:lang w:val="en-GB"/>
        </w:rPr>
      </w:pPr>
      <w:r w:rsidRPr="00BA6C5E">
        <w:rPr>
          <w:color w:val="000000"/>
          <w:lang w:val="en-GB"/>
        </w:rPr>
        <w:t xml:space="preserve">The SA </w:t>
      </w:r>
      <w:r>
        <w:rPr>
          <w:color w:val="000000"/>
          <w:lang w:val="en-GB"/>
        </w:rPr>
        <w:t>provides ample</w:t>
      </w:r>
      <w:r w:rsidRPr="00BA6C5E">
        <w:rPr>
          <w:color w:val="000000"/>
          <w:lang w:val="en-GB"/>
        </w:rPr>
        <w:t xml:space="preserve"> evidence of the conformity with institutional (VPU Statute, VPU Strategy), state (National Development Strategies) and international directives (</w:t>
      </w:r>
      <w:smartTag w:uri="urn:schemas-microsoft-com:office:smarttags" w:element="City">
        <w:smartTag w:uri="urn:schemas-microsoft-com:office:smarttags" w:element="place">
          <w:r w:rsidRPr="00BA6C5E">
            <w:rPr>
              <w:color w:val="000000"/>
              <w:lang w:val="en-GB"/>
            </w:rPr>
            <w:t>Bologna</w:t>
          </w:r>
        </w:smartTag>
      </w:smartTag>
      <w:r w:rsidRPr="00BA6C5E">
        <w:rPr>
          <w:color w:val="000000"/>
          <w:lang w:val="en-GB"/>
        </w:rPr>
        <w:t xml:space="preserve"> and EU recommendations). The declared purpose of the </w:t>
      </w:r>
      <w:r>
        <w:rPr>
          <w:color w:val="000000"/>
          <w:lang w:val="en-GB"/>
        </w:rPr>
        <w:t>program</w:t>
      </w:r>
      <w:r w:rsidRPr="00BA6C5E">
        <w:rPr>
          <w:color w:val="000000"/>
          <w:lang w:val="en-GB"/>
        </w:rPr>
        <w:t xml:space="preserve"> in SA (</w:t>
      </w:r>
      <w:r w:rsidRPr="00BA6C5E">
        <w:rPr>
          <w:i/>
          <w:color w:val="000000"/>
          <w:lang w:val="en-GB"/>
        </w:rPr>
        <w:t>to create conditions for secondary school graduates with secondary or special music education to acquire higher university</w:t>
      </w:r>
      <w:r w:rsidRPr="00BA6C5E">
        <w:rPr>
          <w:b/>
          <w:i/>
          <w:color w:val="000000"/>
          <w:lang w:val="en-GB"/>
        </w:rPr>
        <w:t xml:space="preserve"> </w:t>
      </w:r>
      <w:r w:rsidRPr="00BA6C5E">
        <w:rPr>
          <w:i/>
          <w:color w:val="000000"/>
          <w:lang w:val="en-GB"/>
        </w:rPr>
        <w:t>education, which meets contemporary science and culture level, to become</w:t>
      </w:r>
      <w:r w:rsidRPr="00BA6C5E">
        <w:rPr>
          <w:b/>
          <w:i/>
          <w:color w:val="000000"/>
          <w:lang w:val="en-GB"/>
        </w:rPr>
        <w:t xml:space="preserve"> </w:t>
      </w:r>
      <w:r w:rsidRPr="00BA6C5E">
        <w:rPr>
          <w:i/>
          <w:color w:val="000000"/>
          <w:lang w:val="en-GB"/>
        </w:rPr>
        <w:t xml:space="preserve">qualified music educators and artistic project organisers and developers, who are able to apply the acquired at university competences for development of school learners’ arts education and integration of young </w:t>
      </w:r>
      <w:r w:rsidRPr="00BA6C5E">
        <w:rPr>
          <w:i/>
          <w:lang w:val="en-GB"/>
        </w:rPr>
        <w:t>generation into social cultural life</w:t>
      </w:r>
      <w:r w:rsidRPr="00BA6C5E">
        <w:rPr>
          <w:lang w:val="en-GB"/>
        </w:rPr>
        <w:t>) meets the international directives (Directive of European Parliament and Council 2005/36EB of September 7, 2005 regarding the recognition of professional qualifications) and the Strategy for Life-Long Learning Assurance approved by the Ministers of Education and Science and Social Security and Labour (March 26, 2004, No. ISAK-433/A1-83).</w:t>
      </w:r>
    </w:p>
    <w:p w:rsidR="008F519B" w:rsidRPr="00BA6C5E" w:rsidRDefault="008F519B" w:rsidP="00FB52E6">
      <w:pPr>
        <w:spacing w:line="240" w:lineRule="auto"/>
        <w:ind w:firstLine="360"/>
        <w:rPr>
          <w:color w:val="000000"/>
          <w:lang w:val="en-GB"/>
        </w:rPr>
      </w:pPr>
      <w:r w:rsidRPr="00BA6C5E">
        <w:rPr>
          <w:color w:val="000000"/>
          <w:lang w:val="en-GB"/>
        </w:rPr>
        <w:t xml:space="preserve"> </w:t>
      </w:r>
    </w:p>
    <w:p w:rsidR="008F519B" w:rsidRPr="00BA6C5E" w:rsidRDefault="008F519B" w:rsidP="00E02512">
      <w:pPr>
        <w:spacing w:line="240" w:lineRule="auto"/>
        <w:rPr>
          <w:i/>
          <w:lang w:val="en-GB"/>
        </w:rPr>
      </w:pPr>
      <w:r w:rsidRPr="00BA6C5E">
        <w:rPr>
          <w:i/>
          <w:lang w:val="en-GB"/>
        </w:rPr>
        <w:t>1.1.3.</w:t>
      </w:r>
      <w:r w:rsidRPr="00BA6C5E">
        <w:t xml:space="preserve"> </w:t>
      </w:r>
      <w:r w:rsidRPr="00BA6C5E">
        <w:rPr>
          <w:i/>
        </w:rPr>
        <w:t>Relevance</w:t>
      </w:r>
      <w:r w:rsidRPr="00BA6C5E">
        <w:rPr>
          <w:i/>
          <w:lang w:val="en-GB"/>
        </w:rPr>
        <w:t xml:space="preserve"> of the </w:t>
      </w:r>
      <w:r>
        <w:rPr>
          <w:i/>
          <w:lang w:val="en-GB"/>
        </w:rPr>
        <w:t>program</w:t>
      </w:r>
      <w:r w:rsidRPr="00BA6C5E">
        <w:rPr>
          <w:i/>
          <w:lang w:val="en-GB"/>
        </w:rPr>
        <w:t xml:space="preserve"> aims</w:t>
      </w:r>
    </w:p>
    <w:p w:rsidR="008F519B" w:rsidRPr="00BA6C5E" w:rsidRDefault="008F519B" w:rsidP="00E02512">
      <w:pPr>
        <w:spacing w:line="240" w:lineRule="auto"/>
        <w:rPr>
          <w:lang w:val="en-GB"/>
        </w:rPr>
      </w:pPr>
      <w:r w:rsidRPr="00BA6C5E">
        <w:rPr>
          <w:color w:val="000000"/>
          <w:lang w:val="en-GB"/>
        </w:rPr>
        <w:t xml:space="preserve">The relevance of the aims </w:t>
      </w:r>
      <w:r w:rsidRPr="00C7561A">
        <w:rPr>
          <w:color w:val="000000"/>
          <w:lang w:val="en-GB"/>
        </w:rPr>
        <w:t xml:space="preserve">of the program is evident to the visiting experts based on the information provided. The visiting experts concur with the statement that </w:t>
      </w:r>
      <w:r w:rsidRPr="00C7561A">
        <w:rPr>
          <w:lang w:val="en-GB"/>
        </w:rPr>
        <w:t xml:space="preserve">the </w:t>
      </w:r>
      <w:r w:rsidRPr="00221528">
        <w:rPr>
          <w:i/>
          <w:color w:val="000000"/>
          <w:lang w:val="en-GB"/>
        </w:rPr>
        <w:t>goal of</w:t>
      </w:r>
      <w:r w:rsidRPr="00221528">
        <w:rPr>
          <w:bCs/>
          <w:i/>
          <w:color w:val="000000"/>
          <w:lang w:val="en-GB"/>
        </w:rPr>
        <w:t xml:space="preserve"> the study program is to provide students with higher university education and to create conditions for acquisition of the degree of Bachelor of Music and teacher</w:t>
      </w:r>
      <w:r>
        <w:rPr>
          <w:bCs/>
          <w:i/>
          <w:color w:val="000000"/>
          <w:lang w:val="en-GB"/>
        </w:rPr>
        <w:t>’</w:t>
      </w:r>
      <w:r w:rsidRPr="00221528">
        <w:rPr>
          <w:bCs/>
          <w:i/>
          <w:color w:val="000000"/>
          <w:lang w:val="en-GB"/>
        </w:rPr>
        <w:t>s professional qualification links with the purpose of the study program to</w:t>
      </w:r>
      <w:r w:rsidRPr="00C7561A">
        <w:rPr>
          <w:i/>
          <w:lang w:val="en-GB"/>
        </w:rPr>
        <w:t xml:space="preserve"> create conditions for secondary school graduates with secondary or special music education to acquire higher university education which meets contemporary science and culture level and to become qualified music educators</w:t>
      </w:r>
      <w:r w:rsidRPr="00C7561A">
        <w:rPr>
          <w:lang w:val="en-GB"/>
        </w:rPr>
        <w:t>.</w:t>
      </w:r>
      <w:r w:rsidRPr="00C7561A">
        <w:rPr>
          <w:bCs/>
          <w:color w:val="000000"/>
          <w:lang w:val="en-GB"/>
        </w:rPr>
        <w:t xml:space="preserve"> </w:t>
      </w:r>
      <w:r w:rsidRPr="00C7561A">
        <w:rPr>
          <w:lang w:val="en-GB"/>
        </w:rPr>
        <w:t>The visiting experts feel that the above excerpt of the SA clearly expresses the parameters and aims</w:t>
      </w:r>
      <w:r w:rsidRPr="00BA6C5E">
        <w:rPr>
          <w:lang w:val="en-GB"/>
        </w:rPr>
        <w:t xml:space="preserve"> of the program.</w:t>
      </w:r>
    </w:p>
    <w:p w:rsidR="008F519B" w:rsidRPr="00BA6C5E" w:rsidRDefault="008F519B" w:rsidP="00174068">
      <w:pPr>
        <w:pStyle w:val="Heading3"/>
      </w:pPr>
      <w:bookmarkStart w:id="10" w:name="_1.2._Intended_learning_outcomes_of_"/>
      <w:bookmarkStart w:id="11" w:name="_Toc278293000"/>
      <w:bookmarkEnd w:id="10"/>
      <w:r w:rsidRPr="00BA6C5E">
        <w:t xml:space="preserve">1.2. Learning outcomes of the </w:t>
      </w:r>
      <w:r>
        <w:t>program</w:t>
      </w:r>
      <w:bookmarkEnd w:id="11"/>
      <w:r w:rsidRPr="00BA6C5E">
        <w:t xml:space="preserve"> </w:t>
      </w:r>
    </w:p>
    <w:p w:rsidR="008F519B" w:rsidRPr="00BA6C5E" w:rsidRDefault="008F519B" w:rsidP="00FB52E6">
      <w:pPr>
        <w:spacing w:line="240" w:lineRule="auto"/>
        <w:rPr>
          <w:i/>
          <w:color w:val="000000"/>
          <w:lang w:val="en-GB"/>
        </w:rPr>
      </w:pPr>
      <w:r w:rsidRPr="00BA6C5E">
        <w:rPr>
          <w:i/>
          <w:lang w:val="en-GB"/>
        </w:rPr>
        <w:t>1.2.1.</w:t>
      </w:r>
      <w:r w:rsidRPr="00BA6C5E">
        <w:rPr>
          <w:i/>
          <w:color w:val="000000"/>
          <w:lang w:val="en-GB"/>
        </w:rPr>
        <w:t xml:space="preserve"> Comprehensibility and attainability of the learning outcomes</w:t>
      </w:r>
    </w:p>
    <w:p w:rsidR="008F519B" w:rsidRPr="00BA6C5E" w:rsidRDefault="008F519B" w:rsidP="00E02512">
      <w:pPr>
        <w:spacing w:line="240" w:lineRule="auto"/>
        <w:rPr>
          <w:lang w:val="en-GB"/>
        </w:rPr>
      </w:pPr>
      <w:r w:rsidRPr="00BA6C5E">
        <w:rPr>
          <w:lang w:val="en-GB"/>
        </w:rPr>
        <w:t xml:space="preserve">The visiting experts found </w:t>
      </w:r>
      <w:r>
        <w:rPr>
          <w:lang w:val="en-GB"/>
        </w:rPr>
        <w:t xml:space="preserve">the </w:t>
      </w:r>
      <w:r w:rsidRPr="00BA6C5E">
        <w:rPr>
          <w:lang w:val="en-GB"/>
        </w:rPr>
        <w:t xml:space="preserve">learning outcomes well exposed in the SA and </w:t>
      </w:r>
      <w:r>
        <w:rPr>
          <w:lang w:val="en-GB"/>
        </w:rPr>
        <w:t xml:space="preserve">clearly </w:t>
      </w:r>
      <w:r w:rsidRPr="00BA6C5E">
        <w:rPr>
          <w:lang w:val="en-GB"/>
        </w:rPr>
        <w:t>presented during the visi</w:t>
      </w:r>
      <w:r>
        <w:rPr>
          <w:lang w:val="en-GB"/>
        </w:rPr>
        <w:t>t.  S</w:t>
      </w:r>
      <w:r w:rsidRPr="00BA6C5E">
        <w:rPr>
          <w:lang w:val="en-GB"/>
        </w:rPr>
        <w:t xml:space="preserve">pecial outcomes </w:t>
      </w:r>
      <w:r>
        <w:rPr>
          <w:lang w:val="en-GB"/>
        </w:rPr>
        <w:t xml:space="preserve">are available </w:t>
      </w:r>
      <w:r w:rsidRPr="00BA6C5E">
        <w:rPr>
          <w:lang w:val="en-GB"/>
        </w:rPr>
        <w:t>for two specialisations</w:t>
      </w:r>
      <w:r>
        <w:rPr>
          <w:lang w:val="en-GB"/>
        </w:rPr>
        <w:t xml:space="preserve"> </w:t>
      </w:r>
      <w:r w:rsidRPr="00BA6C5E">
        <w:rPr>
          <w:lang w:val="en-GB"/>
        </w:rPr>
        <w:t>: music specialisation and modern music and computer technologies specialisation.</w:t>
      </w:r>
      <w:r>
        <w:rPr>
          <w:lang w:val="en-GB"/>
        </w:rPr>
        <w:t xml:space="preserve"> The l</w:t>
      </w:r>
      <w:r w:rsidRPr="00BA6C5E">
        <w:rPr>
          <w:lang w:val="en-GB"/>
        </w:rPr>
        <w:t xml:space="preserve">earning outcomes meet the goals of the </w:t>
      </w:r>
      <w:r>
        <w:rPr>
          <w:lang w:val="en-GB"/>
        </w:rPr>
        <w:t>program</w:t>
      </w:r>
      <w:r w:rsidRPr="00BA6C5E">
        <w:rPr>
          <w:lang w:val="en-GB"/>
        </w:rPr>
        <w:t xml:space="preserve"> and also meet the competences to be develop</w:t>
      </w:r>
      <w:r>
        <w:rPr>
          <w:lang w:val="en-GB"/>
        </w:rPr>
        <w:t>ed</w:t>
      </w:r>
      <w:r w:rsidRPr="00BA6C5E">
        <w:rPr>
          <w:lang w:val="en-GB"/>
        </w:rPr>
        <w:t xml:space="preserve"> during first level university studies </w:t>
      </w:r>
      <w:r>
        <w:rPr>
          <w:lang w:val="en-GB"/>
        </w:rPr>
        <w:t xml:space="preserve">as </w:t>
      </w:r>
      <w:r w:rsidRPr="00BA6C5E">
        <w:rPr>
          <w:lang w:val="en-GB"/>
        </w:rPr>
        <w:t xml:space="preserve">enlisted in the Order of the Minister of Education and Science “On General Requirements for Study </w:t>
      </w:r>
      <w:r>
        <w:rPr>
          <w:lang w:val="en-GB"/>
        </w:rPr>
        <w:t>Program</w:t>
      </w:r>
      <w:r w:rsidRPr="00BA6C5E">
        <w:rPr>
          <w:lang w:val="en-GB"/>
        </w:rPr>
        <w:t xml:space="preserve">s” (No. ISAK-1551) of July 22, 2005 (Articles II.I.14.2-14.3) (SA, p. 10). </w:t>
      </w:r>
    </w:p>
    <w:p w:rsidR="008F519B" w:rsidRPr="00BA6C5E" w:rsidRDefault="008F519B" w:rsidP="00FB52E6">
      <w:pPr>
        <w:spacing w:line="240" w:lineRule="auto"/>
        <w:ind w:firstLine="360"/>
        <w:rPr>
          <w:i/>
          <w:lang w:val="en-GB"/>
        </w:rPr>
      </w:pPr>
    </w:p>
    <w:p w:rsidR="008F519B" w:rsidRPr="00BA6C5E" w:rsidRDefault="008F519B" w:rsidP="00E02512">
      <w:pPr>
        <w:spacing w:line="240" w:lineRule="auto"/>
        <w:rPr>
          <w:i/>
          <w:lang w:val="en-GB"/>
        </w:rPr>
      </w:pPr>
      <w:r w:rsidRPr="00BA6C5E">
        <w:rPr>
          <w:i/>
          <w:lang w:val="en-GB"/>
        </w:rPr>
        <w:t>1.2.2. Consistency of the learning outcomes</w:t>
      </w:r>
    </w:p>
    <w:p w:rsidR="008F519B" w:rsidRPr="00BA6C5E" w:rsidRDefault="008F519B" w:rsidP="00E02512">
      <w:pPr>
        <w:spacing w:line="240" w:lineRule="auto"/>
        <w:rPr>
          <w:color w:val="000000"/>
          <w:lang w:val="en-GB"/>
        </w:rPr>
      </w:pPr>
      <w:r w:rsidRPr="00BA6C5E">
        <w:rPr>
          <w:lang w:val="en-GB"/>
        </w:rPr>
        <w:t xml:space="preserve">All </w:t>
      </w:r>
      <w:r>
        <w:rPr>
          <w:lang w:val="en-GB"/>
        </w:rPr>
        <w:t xml:space="preserve">the </w:t>
      </w:r>
      <w:r w:rsidRPr="00BA6C5E">
        <w:rPr>
          <w:lang w:val="en-GB"/>
        </w:rPr>
        <w:t xml:space="preserve">learning outcomes are clearly presented in </w:t>
      </w:r>
      <w:r>
        <w:rPr>
          <w:lang w:val="en-GB"/>
        </w:rPr>
        <w:t>the SA. A</w:t>
      </w:r>
      <w:r w:rsidRPr="00BA6C5E">
        <w:rPr>
          <w:lang w:val="en-GB"/>
        </w:rPr>
        <w:t xml:space="preserve">ll </w:t>
      </w:r>
      <w:r>
        <w:rPr>
          <w:lang w:val="en-GB"/>
        </w:rPr>
        <w:t xml:space="preserve">the </w:t>
      </w:r>
      <w:r w:rsidRPr="00BA6C5E">
        <w:rPr>
          <w:lang w:val="en-GB"/>
        </w:rPr>
        <w:t xml:space="preserve">necessary competences for a music teacher </w:t>
      </w:r>
      <w:r>
        <w:rPr>
          <w:lang w:val="en-GB"/>
        </w:rPr>
        <w:t xml:space="preserve">are being </w:t>
      </w:r>
      <w:r w:rsidRPr="00BA6C5E">
        <w:rPr>
          <w:lang w:val="en-GB"/>
        </w:rPr>
        <w:t>developed</w:t>
      </w:r>
      <w:r>
        <w:rPr>
          <w:lang w:val="en-GB"/>
        </w:rPr>
        <w:t>: common cultural, professional, general and s</w:t>
      </w:r>
      <w:r w:rsidRPr="00BA6C5E">
        <w:rPr>
          <w:lang w:val="en-GB"/>
        </w:rPr>
        <w:t xml:space="preserve">pecial competences. As noted in </w:t>
      </w:r>
      <w:r>
        <w:rPr>
          <w:lang w:val="en-GB"/>
        </w:rPr>
        <w:t xml:space="preserve">the </w:t>
      </w:r>
      <w:r w:rsidRPr="00BA6C5E">
        <w:rPr>
          <w:lang w:val="en-GB"/>
        </w:rPr>
        <w:t xml:space="preserve">SA </w:t>
      </w:r>
      <w:r w:rsidRPr="00BA6C5E">
        <w:rPr>
          <w:i/>
          <w:lang w:val="en-GB"/>
        </w:rPr>
        <w:t>the study outcomes do not duplicate each other and are closely interlinked.</w:t>
      </w:r>
      <w:r w:rsidRPr="00BA6C5E">
        <w:rPr>
          <w:lang w:val="en-GB"/>
        </w:rPr>
        <w:t xml:space="preserve"> </w:t>
      </w:r>
      <w:r>
        <w:rPr>
          <w:lang w:val="en-GB"/>
        </w:rPr>
        <w:t>The e</w:t>
      </w:r>
      <w:r w:rsidRPr="00BA6C5E">
        <w:rPr>
          <w:lang w:val="en-GB"/>
        </w:rPr>
        <w:t xml:space="preserve">xperts </w:t>
      </w:r>
      <w:r>
        <w:rPr>
          <w:lang w:val="en-GB"/>
        </w:rPr>
        <w:t>commend the VPU for this carefully balanced program.</w:t>
      </w:r>
      <w:r w:rsidRPr="00BA6C5E">
        <w:rPr>
          <w:lang w:val="en-GB"/>
        </w:rPr>
        <w:t xml:space="preserve"> </w:t>
      </w:r>
    </w:p>
    <w:p w:rsidR="008F519B" w:rsidRPr="00BA6C5E" w:rsidRDefault="008F519B" w:rsidP="00FB52E6">
      <w:pPr>
        <w:spacing w:line="240" w:lineRule="auto"/>
        <w:ind w:firstLine="360"/>
        <w:rPr>
          <w:color w:val="000000"/>
          <w:lang w:val="en-GB"/>
        </w:rPr>
      </w:pPr>
    </w:p>
    <w:p w:rsidR="008F519B" w:rsidRPr="00BA6C5E" w:rsidRDefault="008F519B" w:rsidP="00EC7397">
      <w:pPr>
        <w:spacing w:line="240" w:lineRule="auto"/>
        <w:rPr>
          <w:i/>
          <w:color w:val="000000"/>
          <w:lang w:val="en-GB"/>
        </w:rPr>
      </w:pPr>
      <w:r w:rsidRPr="00BA6C5E">
        <w:rPr>
          <w:i/>
          <w:color w:val="000000"/>
          <w:lang w:val="en-GB"/>
        </w:rPr>
        <w:t>1.2.3.</w:t>
      </w:r>
      <w:r w:rsidRPr="00BA6C5E">
        <w:rPr>
          <w:i/>
          <w:lang w:val="en-GB"/>
        </w:rPr>
        <w:t xml:space="preserve"> Transformation of the learning outcomes</w:t>
      </w:r>
    </w:p>
    <w:p w:rsidR="008F519B" w:rsidRPr="00BA6C5E" w:rsidRDefault="008F519B" w:rsidP="00EC7397">
      <w:pPr>
        <w:spacing w:line="240" w:lineRule="auto"/>
        <w:rPr>
          <w:color w:val="000000"/>
          <w:lang w:val="en-GB"/>
        </w:rPr>
      </w:pPr>
      <w:r w:rsidRPr="00BA6C5E">
        <w:rPr>
          <w:color w:val="000000"/>
          <w:lang w:val="en-GB"/>
        </w:rPr>
        <w:t xml:space="preserve">The Music </w:t>
      </w:r>
      <w:r>
        <w:rPr>
          <w:color w:val="000000"/>
          <w:lang w:val="en-GB"/>
        </w:rPr>
        <w:t>program</w:t>
      </w:r>
      <w:r w:rsidRPr="00BA6C5E">
        <w:rPr>
          <w:color w:val="000000"/>
          <w:lang w:val="en-GB"/>
        </w:rPr>
        <w:t xml:space="preserve"> is checked an</w:t>
      </w:r>
      <w:r>
        <w:rPr>
          <w:color w:val="000000"/>
          <w:lang w:val="en-GB"/>
        </w:rPr>
        <w:t>d evaluated each year with the participation</w:t>
      </w:r>
      <w:r w:rsidRPr="00BA6C5E">
        <w:rPr>
          <w:color w:val="000000"/>
          <w:lang w:val="en-GB"/>
        </w:rPr>
        <w:t xml:space="preserve"> of stakeholders and </w:t>
      </w:r>
      <w:r>
        <w:rPr>
          <w:color w:val="000000"/>
          <w:lang w:val="en-GB"/>
        </w:rPr>
        <w:t xml:space="preserve">a students’ </w:t>
      </w:r>
      <w:r w:rsidRPr="00BA6C5E">
        <w:rPr>
          <w:color w:val="000000"/>
          <w:lang w:val="en-GB"/>
        </w:rPr>
        <w:t xml:space="preserve">survey. During </w:t>
      </w:r>
      <w:r>
        <w:rPr>
          <w:color w:val="000000"/>
          <w:lang w:val="en-GB"/>
        </w:rPr>
        <w:t>the site</w:t>
      </w:r>
      <w:r w:rsidRPr="00BA6C5E">
        <w:rPr>
          <w:color w:val="000000"/>
          <w:lang w:val="en-GB"/>
        </w:rPr>
        <w:t xml:space="preserve"> visit</w:t>
      </w:r>
      <w:r>
        <w:rPr>
          <w:color w:val="000000"/>
          <w:lang w:val="en-GB"/>
        </w:rPr>
        <w:t>, the</w:t>
      </w:r>
      <w:r w:rsidRPr="00BA6C5E">
        <w:rPr>
          <w:color w:val="000000"/>
          <w:lang w:val="en-GB"/>
        </w:rPr>
        <w:t xml:space="preserve"> experts understood they take </w:t>
      </w:r>
      <w:r>
        <w:rPr>
          <w:color w:val="000000"/>
          <w:lang w:val="en-GB"/>
        </w:rPr>
        <w:t xml:space="preserve">a </w:t>
      </w:r>
      <w:r w:rsidRPr="00BA6C5E">
        <w:rPr>
          <w:color w:val="000000"/>
          <w:lang w:val="en-GB"/>
        </w:rPr>
        <w:t>really very active par</w:t>
      </w:r>
      <w:r>
        <w:rPr>
          <w:color w:val="000000"/>
          <w:lang w:val="en-GB"/>
        </w:rPr>
        <w:t>t</w:t>
      </w:r>
      <w:r w:rsidRPr="00BA6C5E">
        <w:rPr>
          <w:color w:val="000000"/>
          <w:lang w:val="en-GB"/>
        </w:rPr>
        <w:t xml:space="preserve"> in renewal process of </w:t>
      </w:r>
      <w:r>
        <w:rPr>
          <w:color w:val="000000"/>
          <w:lang w:val="en-GB"/>
        </w:rPr>
        <w:t>the</w:t>
      </w:r>
      <w:r w:rsidRPr="00BA6C5E">
        <w:rPr>
          <w:color w:val="000000"/>
          <w:lang w:val="en-GB"/>
        </w:rPr>
        <w:t xml:space="preserve"> </w:t>
      </w:r>
      <w:r>
        <w:rPr>
          <w:color w:val="000000"/>
          <w:lang w:val="en-GB"/>
        </w:rPr>
        <w:t>program, and this</w:t>
      </w:r>
      <w:r w:rsidRPr="00BA6C5E">
        <w:rPr>
          <w:color w:val="000000"/>
          <w:lang w:val="en-GB"/>
        </w:rPr>
        <w:t xml:space="preserve"> </w:t>
      </w:r>
      <w:r>
        <w:rPr>
          <w:color w:val="000000"/>
          <w:lang w:val="en-GB"/>
        </w:rPr>
        <w:t xml:space="preserve">evaluation </w:t>
      </w:r>
      <w:r w:rsidRPr="00BA6C5E">
        <w:rPr>
          <w:color w:val="000000"/>
          <w:lang w:val="en-GB"/>
        </w:rPr>
        <w:t xml:space="preserve">system can </w:t>
      </w:r>
      <w:r>
        <w:rPr>
          <w:color w:val="000000"/>
          <w:lang w:val="en-GB"/>
        </w:rPr>
        <w:t xml:space="preserve">indeed </w:t>
      </w:r>
      <w:r w:rsidRPr="00BA6C5E">
        <w:rPr>
          <w:color w:val="000000"/>
          <w:lang w:val="en-GB"/>
        </w:rPr>
        <w:t xml:space="preserve">be taken as a model for other similar </w:t>
      </w:r>
      <w:r>
        <w:rPr>
          <w:color w:val="000000"/>
          <w:lang w:val="en-GB"/>
        </w:rPr>
        <w:t>program</w:t>
      </w:r>
      <w:r w:rsidRPr="00BA6C5E">
        <w:rPr>
          <w:color w:val="000000"/>
          <w:lang w:val="en-GB"/>
        </w:rPr>
        <w:t>s in Lithuania.</w:t>
      </w:r>
      <w:r>
        <w:rPr>
          <w:color w:val="000000"/>
          <w:lang w:val="en-GB"/>
        </w:rPr>
        <w:t xml:space="preserve"> Since this curriculum program just switched to the pedagogical programs under the new regulation, the </w:t>
      </w:r>
      <w:r w:rsidRPr="00BA6C5E">
        <w:rPr>
          <w:color w:val="000000"/>
          <w:lang w:val="en-GB"/>
        </w:rPr>
        <w:t xml:space="preserve">experts </w:t>
      </w:r>
      <w:r>
        <w:rPr>
          <w:color w:val="000000"/>
          <w:lang w:val="en-GB"/>
        </w:rPr>
        <w:t>recommend to</w:t>
      </w:r>
      <w:r w:rsidRPr="00BA6C5E">
        <w:rPr>
          <w:color w:val="000000"/>
          <w:lang w:val="en-GB"/>
        </w:rPr>
        <w:t xml:space="preserve"> c</w:t>
      </w:r>
      <w:r w:rsidRPr="00BA6C5E">
        <w:rPr>
          <w:lang w:val="en-GB"/>
        </w:rPr>
        <w:t xml:space="preserve">arefully monitor the balance between pedagogical and musical learning outcomes in the new </w:t>
      </w:r>
      <w:r w:rsidRPr="009C02A4">
        <w:rPr>
          <w:lang w:val="en-GB"/>
        </w:rPr>
        <w:t>structure (</w:t>
      </w:r>
      <w:r>
        <w:rPr>
          <w:lang w:val="en-GB"/>
        </w:rPr>
        <w:t>s</w:t>
      </w:r>
      <w:r w:rsidRPr="009C02A4">
        <w:rPr>
          <w:lang w:val="en-GB"/>
        </w:rPr>
        <w:t xml:space="preserve">ee recommendation </w:t>
      </w:r>
      <w:r>
        <w:rPr>
          <w:lang w:val="en-GB"/>
        </w:rPr>
        <w:t>III.</w:t>
      </w:r>
      <w:r w:rsidRPr="009C02A4">
        <w:rPr>
          <w:lang w:val="en-GB"/>
        </w:rPr>
        <w:t>3.1)</w:t>
      </w:r>
      <w:r>
        <w:rPr>
          <w:lang w:val="en-GB"/>
        </w:rPr>
        <w:t>.</w:t>
      </w:r>
    </w:p>
    <w:p w:rsidR="008F519B" w:rsidRPr="00BA6C5E" w:rsidRDefault="008F519B" w:rsidP="00174068">
      <w:pPr>
        <w:pStyle w:val="Heading2"/>
      </w:pPr>
      <w:bookmarkStart w:id="12" w:name="_2.Curriculum_design"/>
      <w:bookmarkStart w:id="13" w:name="_2._Curriculum_design"/>
      <w:bookmarkStart w:id="14" w:name="_Toc278293001"/>
      <w:bookmarkEnd w:id="12"/>
      <w:bookmarkEnd w:id="13"/>
      <w:r w:rsidRPr="00BA6C5E">
        <w:t>2. Curriculum design</w:t>
      </w:r>
      <w:bookmarkEnd w:id="14"/>
      <w:r w:rsidRPr="00BA6C5E">
        <w:t xml:space="preserve"> </w:t>
      </w:r>
    </w:p>
    <w:p w:rsidR="008F519B" w:rsidRPr="00BA6C5E" w:rsidRDefault="008F519B" w:rsidP="00174068">
      <w:pPr>
        <w:pStyle w:val="Heading3"/>
      </w:pPr>
      <w:bookmarkStart w:id="15" w:name="_2.1._Programme_structure"/>
      <w:bookmarkEnd w:id="15"/>
      <w:r w:rsidRPr="00BA6C5E">
        <w:t xml:space="preserve"> </w:t>
      </w:r>
      <w:bookmarkStart w:id="16" w:name="_Toc278293002"/>
      <w:r w:rsidRPr="00BA6C5E">
        <w:t xml:space="preserve">2.1. </w:t>
      </w:r>
      <w:r>
        <w:t>Program</w:t>
      </w:r>
      <w:r w:rsidRPr="00BA6C5E">
        <w:t xml:space="preserve"> structure</w:t>
      </w:r>
      <w:bookmarkEnd w:id="16"/>
      <w:r w:rsidRPr="00BA6C5E">
        <w:t xml:space="preserve">   </w:t>
      </w:r>
    </w:p>
    <w:p w:rsidR="008F519B" w:rsidRPr="00BA6C5E" w:rsidRDefault="008F519B" w:rsidP="00FB52E6">
      <w:pPr>
        <w:spacing w:line="240" w:lineRule="auto"/>
        <w:rPr>
          <w:b/>
          <w:color w:val="000000"/>
        </w:rPr>
      </w:pPr>
      <w:r w:rsidRPr="00BA6C5E">
        <w:rPr>
          <w:i/>
          <w:lang w:val="en-GB"/>
        </w:rPr>
        <w:t xml:space="preserve"> 2.1.1.</w:t>
      </w:r>
      <w:r w:rsidRPr="00BA6C5E">
        <w:rPr>
          <w:i/>
          <w:color w:val="000000"/>
          <w:lang w:val="en-GB"/>
        </w:rPr>
        <w:t xml:space="preserve"> Sufficiency of the study volume</w:t>
      </w:r>
    </w:p>
    <w:p w:rsidR="008F519B" w:rsidRPr="00BA6C5E" w:rsidRDefault="008F519B" w:rsidP="00EC7397">
      <w:pPr>
        <w:spacing w:line="240" w:lineRule="auto"/>
        <w:rPr>
          <w:color w:val="000000"/>
          <w:lang w:val="en-GB"/>
        </w:rPr>
      </w:pPr>
      <w:r>
        <w:rPr>
          <w:color w:val="000000"/>
        </w:rPr>
        <w:t xml:space="preserve">The </w:t>
      </w:r>
      <w:r w:rsidRPr="00BA6C5E">
        <w:rPr>
          <w:color w:val="000000"/>
          <w:lang w:val="en-GB"/>
        </w:rPr>
        <w:t xml:space="preserve">Music </w:t>
      </w:r>
      <w:r>
        <w:rPr>
          <w:color w:val="000000"/>
          <w:lang w:val="en-GB"/>
        </w:rPr>
        <w:t>program</w:t>
      </w:r>
      <w:r w:rsidRPr="00BA6C5E">
        <w:rPr>
          <w:color w:val="000000"/>
          <w:lang w:val="en-GB"/>
        </w:rPr>
        <w:t xml:space="preserve"> meets all </w:t>
      </w:r>
      <w:r>
        <w:rPr>
          <w:color w:val="000000"/>
          <w:lang w:val="en-GB"/>
        </w:rPr>
        <w:t xml:space="preserve">the </w:t>
      </w:r>
      <w:r w:rsidRPr="00BA6C5E">
        <w:rPr>
          <w:color w:val="000000"/>
          <w:lang w:val="en-GB"/>
        </w:rPr>
        <w:t xml:space="preserve">requirements for the first cycle studies described in </w:t>
      </w:r>
      <w:r>
        <w:rPr>
          <w:color w:val="000000"/>
          <w:lang w:val="en-GB"/>
        </w:rPr>
        <w:t xml:space="preserve">the </w:t>
      </w:r>
      <w:r w:rsidRPr="00BA6C5E">
        <w:rPr>
          <w:color w:val="000000"/>
          <w:lang w:val="en-GB"/>
        </w:rPr>
        <w:t xml:space="preserve">state regulations. </w:t>
      </w:r>
      <w:r>
        <w:rPr>
          <w:color w:val="000000"/>
          <w:lang w:val="en-GB"/>
        </w:rPr>
        <w:t>The c</w:t>
      </w:r>
      <w:r w:rsidRPr="00BA6C5E">
        <w:rPr>
          <w:color w:val="000000"/>
        </w:rPr>
        <w:t xml:space="preserve">hanges </w:t>
      </w:r>
      <w:r>
        <w:rPr>
          <w:color w:val="000000"/>
        </w:rPr>
        <w:t>appearing in the</w:t>
      </w:r>
      <w:r w:rsidRPr="00BA6C5E">
        <w:rPr>
          <w:color w:val="000000"/>
        </w:rPr>
        <w:t xml:space="preserve"> new 2010 </w:t>
      </w:r>
      <w:r>
        <w:rPr>
          <w:color w:val="000000"/>
        </w:rPr>
        <w:t xml:space="preserve">program fit to the </w:t>
      </w:r>
      <w:r w:rsidRPr="00BA6C5E">
        <w:rPr>
          <w:color w:val="000000"/>
        </w:rPr>
        <w:t xml:space="preserve">new regulations accepted in 2009-2010. </w:t>
      </w:r>
      <w:r w:rsidRPr="00BA6C5E">
        <w:rPr>
          <w:color w:val="000000"/>
          <w:lang w:val="en-GB"/>
        </w:rPr>
        <w:t>Upon completion of this first cycle of studies, a student may have the opportunity to continue in the Master of Music Educology or Educology. The experts agree with this analysis.</w:t>
      </w:r>
    </w:p>
    <w:p w:rsidR="008F519B" w:rsidRPr="00BA6C5E" w:rsidRDefault="008F519B" w:rsidP="00FB52E6">
      <w:pPr>
        <w:numPr>
          <w:ilvl w:val="8"/>
          <w:numId w:val="1"/>
        </w:numPr>
        <w:spacing w:line="240" w:lineRule="auto"/>
        <w:ind w:firstLine="360"/>
        <w:rPr>
          <w:color w:val="000000"/>
          <w:lang w:val="en-GB"/>
        </w:rPr>
      </w:pPr>
    </w:p>
    <w:p w:rsidR="008F519B" w:rsidRPr="00BA6C5E" w:rsidRDefault="008F519B" w:rsidP="00EC7397">
      <w:pPr>
        <w:spacing w:line="240" w:lineRule="auto"/>
        <w:rPr>
          <w:color w:val="000000"/>
          <w:lang w:val="en-GB"/>
        </w:rPr>
      </w:pPr>
      <w:r w:rsidRPr="00BA6C5E">
        <w:rPr>
          <w:i/>
          <w:color w:val="000000"/>
          <w:lang w:val="en-GB"/>
        </w:rPr>
        <w:t>2.1.2.</w:t>
      </w:r>
      <w:r w:rsidRPr="00BA6C5E">
        <w:rPr>
          <w:i/>
          <w:lang w:val="en-GB"/>
        </w:rPr>
        <w:t xml:space="preserve"> Consistency of the study subjects</w:t>
      </w:r>
    </w:p>
    <w:p w:rsidR="008F519B" w:rsidRPr="00BA6C5E" w:rsidRDefault="008F519B" w:rsidP="00EC7397">
      <w:pPr>
        <w:spacing w:line="240" w:lineRule="auto"/>
        <w:rPr>
          <w:color w:val="000000"/>
          <w:lang w:val="en-GB"/>
        </w:rPr>
      </w:pPr>
      <w:r w:rsidRPr="00BA6C5E">
        <w:rPr>
          <w:color w:val="000000"/>
          <w:lang w:val="en-GB"/>
        </w:rPr>
        <w:t xml:space="preserve">Study subjects are exposed </w:t>
      </w:r>
      <w:r>
        <w:rPr>
          <w:color w:val="000000"/>
          <w:lang w:val="en-GB"/>
        </w:rPr>
        <w:t>with the</w:t>
      </w:r>
      <w:r w:rsidRPr="00BA6C5E">
        <w:rPr>
          <w:color w:val="000000"/>
          <w:lang w:val="en-GB"/>
        </w:rPr>
        <w:t xml:space="preserve"> right consistency: there are more theoretical subjects in </w:t>
      </w:r>
      <w:r>
        <w:rPr>
          <w:color w:val="000000"/>
          <w:lang w:val="en-US"/>
        </w:rPr>
        <w:t>1-</w:t>
      </w:r>
      <w:r w:rsidRPr="00BA6C5E">
        <w:rPr>
          <w:color w:val="000000"/>
          <w:lang w:val="en-US"/>
        </w:rPr>
        <w:t xml:space="preserve">2 </w:t>
      </w:r>
      <w:r w:rsidRPr="00BA6C5E">
        <w:rPr>
          <w:color w:val="000000"/>
        </w:rPr>
        <w:t xml:space="preserve">study years </w:t>
      </w:r>
      <w:r>
        <w:rPr>
          <w:color w:val="000000"/>
        </w:rPr>
        <w:t>and</w:t>
      </w:r>
      <w:r w:rsidRPr="00BA6C5E">
        <w:rPr>
          <w:color w:val="000000"/>
        </w:rPr>
        <w:t xml:space="preserve"> practical work dominates in </w:t>
      </w:r>
      <w:r w:rsidRPr="00BA6C5E">
        <w:rPr>
          <w:color w:val="000000"/>
          <w:lang w:val="en-US"/>
        </w:rPr>
        <w:t>3-4 study year</w:t>
      </w:r>
      <w:r>
        <w:rPr>
          <w:color w:val="000000"/>
          <w:lang w:val="en-US"/>
        </w:rPr>
        <w:t>s</w:t>
      </w:r>
      <w:r w:rsidRPr="00BA6C5E">
        <w:rPr>
          <w:color w:val="000000"/>
          <w:lang w:val="en-US"/>
        </w:rPr>
        <w:t xml:space="preserve">. The methodological subjects are studied first. </w:t>
      </w:r>
      <w:r>
        <w:rPr>
          <w:color w:val="000000"/>
          <w:lang w:val="en-US"/>
        </w:rPr>
        <w:t>The g</w:t>
      </w:r>
      <w:r w:rsidRPr="00BA6C5E">
        <w:rPr>
          <w:color w:val="000000"/>
          <w:lang w:val="en-US"/>
        </w:rPr>
        <w:t xml:space="preserve">eneral subjects </w:t>
      </w:r>
      <w:r>
        <w:rPr>
          <w:color w:val="000000"/>
          <w:lang w:val="en-US"/>
        </w:rPr>
        <w:t xml:space="preserve">are </w:t>
      </w:r>
      <w:r w:rsidRPr="00BA6C5E">
        <w:rPr>
          <w:color w:val="000000"/>
          <w:lang w:val="en-US"/>
        </w:rPr>
        <w:t>orient</w:t>
      </w:r>
      <w:r>
        <w:rPr>
          <w:color w:val="000000"/>
          <w:lang w:val="en-US"/>
        </w:rPr>
        <w:t xml:space="preserve">ed towards </w:t>
      </w:r>
      <w:r w:rsidRPr="00BA6C5E">
        <w:rPr>
          <w:color w:val="000000"/>
          <w:lang w:val="en-US"/>
        </w:rPr>
        <w:t>pedagogical education.</w:t>
      </w:r>
      <w:r>
        <w:rPr>
          <w:color w:val="000000"/>
          <w:lang w:val="en-GB"/>
        </w:rPr>
        <w:t xml:space="preserve"> Although </w:t>
      </w:r>
      <w:r w:rsidRPr="00BA6C5E">
        <w:rPr>
          <w:color w:val="000000"/>
          <w:lang w:val="en-GB"/>
        </w:rPr>
        <w:t>optional subjects</w:t>
      </w:r>
      <w:r>
        <w:rPr>
          <w:color w:val="000000"/>
          <w:lang w:val="en-GB"/>
        </w:rPr>
        <w:t xml:space="preserve"> are already available</w:t>
      </w:r>
      <w:r w:rsidRPr="00BA6C5E">
        <w:rPr>
          <w:color w:val="000000"/>
          <w:lang w:val="en-GB"/>
        </w:rPr>
        <w:t>,</w:t>
      </w:r>
      <w:r>
        <w:rPr>
          <w:color w:val="000000"/>
          <w:lang w:val="en-GB"/>
        </w:rPr>
        <w:t xml:space="preserve"> the </w:t>
      </w:r>
      <w:r w:rsidRPr="00BA6C5E">
        <w:rPr>
          <w:color w:val="000000"/>
          <w:lang w:val="en-GB"/>
        </w:rPr>
        <w:t>visiting</w:t>
      </w:r>
      <w:r>
        <w:rPr>
          <w:color w:val="000000"/>
          <w:lang w:val="en-GB"/>
        </w:rPr>
        <w:t xml:space="preserve"> </w:t>
      </w:r>
      <w:r w:rsidRPr="00BA6C5E">
        <w:rPr>
          <w:color w:val="000000"/>
          <w:lang w:val="en-GB"/>
        </w:rPr>
        <w:t xml:space="preserve">experts suggest the VPU to consider </w:t>
      </w:r>
      <w:r>
        <w:rPr>
          <w:color w:val="000000"/>
          <w:lang w:val="en-GB"/>
        </w:rPr>
        <w:t>expanding them by exploring opportunities for</w:t>
      </w:r>
      <w:r w:rsidRPr="00BA6C5E">
        <w:rPr>
          <w:color w:val="000000"/>
          <w:lang w:val="en-GB"/>
        </w:rPr>
        <w:t xml:space="preserve"> crossover studying units with </w:t>
      </w:r>
      <w:r>
        <w:rPr>
          <w:color w:val="000000"/>
          <w:lang w:val="en-GB"/>
        </w:rPr>
        <w:t xml:space="preserve">the </w:t>
      </w:r>
      <w:r w:rsidRPr="009C02A4">
        <w:rPr>
          <w:color w:val="000000"/>
          <w:lang w:val="en-GB"/>
        </w:rPr>
        <w:t xml:space="preserve">LMTA </w:t>
      </w:r>
      <w:r>
        <w:rPr>
          <w:color w:val="000000"/>
          <w:lang w:val="en-GB"/>
        </w:rPr>
        <w:t>(s</w:t>
      </w:r>
      <w:r w:rsidRPr="009C02A4">
        <w:rPr>
          <w:color w:val="000000"/>
          <w:lang w:val="en-GB"/>
        </w:rPr>
        <w:t xml:space="preserve">ee recommendation </w:t>
      </w:r>
      <w:r>
        <w:rPr>
          <w:color w:val="000000"/>
          <w:lang w:val="en-GB"/>
        </w:rPr>
        <w:t>III.</w:t>
      </w:r>
      <w:r w:rsidRPr="009C02A4">
        <w:rPr>
          <w:color w:val="000000"/>
          <w:lang w:val="en-GB"/>
        </w:rPr>
        <w:t>3.2)</w:t>
      </w:r>
      <w:r>
        <w:rPr>
          <w:color w:val="000000"/>
          <w:lang w:val="en-GB"/>
        </w:rPr>
        <w:t>.</w:t>
      </w:r>
    </w:p>
    <w:p w:rsidR="008F519B" w:rsidRPr="00BA6C5E" w:rsidRDefault="008F519B" w:rsidP="00174068">
      <w:pPr>
        <w:pStyle w:val="Heading3"/>
      </w:pPr>
      <w:bookmarkStart w:id="17" w:name="_2.2.Programme_content"/>
      <w:bookmarkEnd w:id="17"/>
      <w:r w:rsidRPr="00BA6C5E">
        <w:t xml:space="preserve"> </w:t>
      </w:r>
      <w:bookmarkStart w:id="18" w:name="_Toc278293003"/>
      <w:r w:rsidRPr="00BA6C5E">
        <w:t xml:space="preserve">2.2. </w:t>
      </w:r>
      <w:r>
        <w:t>Program</w:t>
      </w:r>
      <w:r w:rsidRPr="00BA6C5E">
        <w:t xml:space="preserve"> content</w:t>
      </w:r>
      <w:bookmarkEnd w:id="18"/>
    </w:p>
    <w:p w:rsidR="008F519B" w:rsidRPr="00BA6C5E" w:rsidRDefault="008F519B" w:rsidP="00FB52E6">
      <w:pPr>
        <w:spacing w:line="240" w:lineRule="auto"/>
        <w:rPr>
          <w:lang w:val="en-GB"/>
        </w:rPr>
      </w:pPr>
      <w:r w:rsidRPr="00BA6C5E">
        <w:rPr>
          <w:i/>
          <w:lang w:val="en-GB"/>
        </w:rPr>
        <w:t>2.2.1. Compliance of the contents of the studies with legal acts</w:t>
      </w:r>
    </w:p>
    <w:p w:rsidR="008F519B" w:rsidRDefault="008F519B" w:rsidP="003544A0">
      <w:pPr>
        <w:spacing w:line="240" w:lineRule="auto"/>
        <w:rPr>
          <w:rStyle w:val="longtext1"/>
          <w:sz w:val="24"/>
          <w:szCs w:val="24"/>
        </w:rPr>
      </w:pPr>
      <w:r w:rsidRPr="00BA6C5E">
        <w:rPr>
          <w:lang w:val="en-GB"/>
        </w:rPr>
        <w:t xml:space="preserve"> </w:t>
      </w:r>
      <w:r w:rsidRPr="00BA6C5E">
        <w:rPr>
          <w:rStyle w:val="longtext1"/>
          <w:sz w:val="24"/>
          <w:szCs w:val="24"/>
          <w:shd w:val="clear" w:color="auto" w:fill="FFFFFF"/>
        </w:rPr>
        <w:t xml:space="preserve">According to the submitted SA material and information obtained during the site visit, the experts understand that the Music studies program is broadly consistent with "General requirements for study programs" confirmed by Minister of Education and Science on </w:t>
      </w:r>
      <w:r w:rsidRPr="00BA6C5E">
        <w:rPr>
          <w:rStyle w:val="longtext1"/>
          <w:sz w:val="24"/>
          <w:szCs w:val="24"/>
        </w:rPr>
        <w:t xml:space="preserve">July 22, </w:t>
      </w:r>
      <w:r w:rsidRPr="00BA6C5E">
        <w:rPr>
          <w:rStyle w:val="longtext1"/>
          <w:sz w:val="24"/>
          <w:szCs w:val="24"/>
          <w:shd w:val="clear" w:color="auto" w:fill="FFFFFF"/>
        </w:rPr>
        <w:t>2005,</w:t>
      </w:r>
      <w:r w:rsidRPr="00BA6C5E">
        <w:rPr>
          <w:rStyle w:val="longtext1"/>
          <w:sz w:val="24"/>
          <w:szCs w:val="24"/>
        </w:rPr>
        <w:t xml:space="preserve"> Order No. </w:t>
      </w:r>
      <w:r w:rsidRPr="00BA6C5E">
        <w:rPr>
          <w:rStyle w:val="longtext1"/>
          <w:sz w:val="24"/>
          <w:szCs w:val="24"/>
          <w:shd w:val="clear" w:color="auto" w:fill="FFFFFF"/>
        </w:rPr>
        <w:t xml:space="preserve">1551. </w:t>
      </w:r>
      <w:r w:rsidRPr="00BA6C5E">
        <w:rPr>
          <w:shd w:val="clear" w:color="auto" w:fill="FFFFFF"/>
        </w:rPr>
        <w:t>The study plan includes 7 subjects per semester what is in correlation with the requirements. T</w:t>
      </w:r>
      <w:r w:rsidRPr="00BA6C5E">
        <w:rPr>
          <w:rStyle w:val="longtext1"/>
          <w:sz w:val="24"/>
          <w:szCs w:val="24"/>
          <w:shd w:val="clear" w:color="auto" w:fill="FFFFFF"/>
        </w:rPr>
        <w:t>he program is 160 credits, and is divided to three different categories of units: Part A - items of general university education is 40 credits, i.e., 25</w:t>
      </w:r>
      <w:r w:rsidRPr="00BA6C5E">
        <w:rPr>
          <w:rStyle w:val="longtext1"/>
          <w:sz w:val="24"/>
          <w:szCs w:val="24"/>
        </w:rPr>
        <w:t xml:space="preserve">% of the total study  program (requirements of the volume shall be not less than 8%); part B - items of the </w:t>
      </w:r>
      <w:r w:rsidRPr="00BA6C5E">
        <w:rPr>
          <w:rFonts w:eastAsia="MS Mincho"/>
          <w:bCs/>
          <w:color w:val="000000"/>
          <w:lang w:val="en-GB" w:eastAsia="ja-JP"/>
        </w:rPr>
        <w:t>fundamentals in the study field is</w:t>
      </w:r>
      <w:r w:rsidRPr="00BA6C5E">
        <w:rPr>
          <w:rStyle w:val="longtext1"/>
          <w:sz w:val="24"/>
          <w:szCs w:val="24"/>
        </w:rPr>
        <w:t xml:space="preserve"> 71 credits (the volume of requirements must be at least 60 credits); </w:t>
      </w:r>
      <w:r w:rsidRPr="00BA6C5E">
        <w:t>part C</w:t>
      </w:r>
      <w:r w:rsidRPr="00BA6C5E">
        <w:rPr>
          <w:rStyle w:val="longtext1"/>
          <w:sz w:val="24"/>
          <w:szCs w:val="24"/>
        </w:rPr>
        <w:t xml:space="preserve"> – items of specialist (professional) education is 41 credits, i. e., 27% of the total study program (requirements specified volume must be at least 25%). </w:t>
      </w:r>
      <w:r w:rsidRPr="00BA6C5E">
        <w:rPr>
          <w:rStyle w:val="longtext1"/>
          <w:sz w:val="24"/>
          <w:szCs w:val="24"/>
          <w:shd w:val="clear" w:color="auto" w:fill="FFFFFF"/>
        </w:rPr>
        <w:t xml:space="preserve">Practices for 10 credits (requirements specify that it must be at least 10 credits). </w:t>
      </w:r>
      <w:r w:rsidRPr="00BA6C5E">
        <w:rPr>
          <w:rStyle w:val="longtext1"/>
          <w:sz w:val="24"/>
          <w:szCs w:val="24"/>
        </w:rPr>
        <w:t>Final project preparation and defense are given 8 credits (requirements specify it must be at least 8 credits). Requirements for Education Studies are also achieved: there are 40 credits of pedagogical studies, where 20 credits are for theoretical studies (including 2 credits for final work – graduation paper of pedagogical studies) and 20 credits are for teaching practice.</w:t>
      </w:r>
    </w:p>
    <w:p w:rsidR="008F519B" w:rsidRPr="00BE3BB8" w:rsidRDefault="008F519B" w:rsidP="003544A0">
      <w:pPr>
        <w:spacing w:line="240" w:lineRule="auto"/>
      </w:pPr>
      <w:r w:rsidRPr="00BA6C5E">
        <w:rPr>
          <w:lang w:val="en-GB"/>
        </w:rPr>
        <w:t xml:space="preserve"> Therefore the experts note that the program and its content appear in compliance with all legal acts as documented both in the text and by the footnotes of the SA. </w:t>
      </w:r>
    </w:p>
    <w:p w:rsidR="008F519B" w:rsidRPr="00BE3BB8" w:rsidRDefault="008F519B" w:rsidP="00FB52E6">
      <w:pPr>
        <w:spacing w:line="240" w:lineRule="auto"/>
      </w:pPr>
    </w:p>
    <w:p w:rsidR="008F519B" w:rsidRPr="00BA6C5E" w:rsidRDefault="008F519B" w:rsidP="00FB52E6">
      <w:pPr>
        <w:spacing w:line="240" w:lineRule="auto"/>
        <w:rPr>
          <w:i/>
          <w:lang w:val="en-GB"/>
        </w:rPr>
      </w:pPr>
      <w:r w:rsidRPr="00BA6C5E">
        <w:rPr>
          <w:i/>
          <w:lang w:val="en-GB"/>
        </w:rPr>
        <w:t xml:space="preserve">2.2.2. Comprehensiveness and rationality of </w:t>
      </w:r>
      <w:r>
        <w:rPr>
          <w:i/>
          <w:lang w:val="en-GB"/>
        </w:rPr>
        <w:t>program</w:t>
      </w:r>
      <w:r w:rsidRPr="00BA6C5E">
        <w:rPr>
          <w:i/>
          <w:lang w:val="en-GB"/>
        </w:rPr>
        <w:t xml:space="preserve"> content</w:t>
      </w:r>
    </w:p>
    <w:p w:rsidR="008F519B" w:rsidRPr="00BA6C5E" w:rsidRDefault="008F519B" w:rsidP="00BE3BB8">
      <w:pPr>
        <w:spacing w:line="240" w:lineRule="auto"/>
        <w:rPr>
          <w:color w:val="000000"/>
          <w:lang w:val="en-GB"/>
        </w:rPr>
      </w:pPr>
      <w:r>
        <w:rPr>
          <w:color w:val="000000"/>
          <w:lang w:val="en-GB"/>
        </w:rPr>
        <w:t>The content of the</w:t>
      </w:r>
      <w:r w:rsidRPr="00BA6C5E">
        <w:rPr>
          <w:color w:val="000000"/>
          <w:lang w:val="en-GB"/>
        </w:rPr>
        <w:t xml:space="preserve"> </w:t>
      </w:r>
      <w:r>
        <w:rPr>
          <w:color w:val="000000"/>
          <w:lang w:val="en-GB"/>
        </w:rPr>
        <w:t>program</w:t>
      </w:r>
      <w:r w:rsidRPr="00BA6C5E">
        <w:rPr>
          <w:color w:val="000000"/>
          <w:lang w:val="en-GB"/>
        </w:rPr>
        <w:t xml:space="preserve"> is comprehensive and logically exposed. It relates with </w:t>
      </w:r>
      <w:r>
        <w:rPr>
          <w:color w:val="000000"/>
          <w:lang w:val="en-GB"/>
        </w:rPr>
        <w:t xml:space="preserve">its </w:t>
      </w:r>
      <w:r w:rsidRPr="00BA6C5E">
        <w:rPr>
          <w:color w:val="000000"/>
          <w:lang w:val="en-GB"/>
        </w:rPr>
        <w:t>in</w:t>
      </w:r>
      <w:r>
        <w:rPr>
          <w:color w:val="000000"/>
          <w:lang w:val="en-GB"/>
        </w:rPr>
        <w:t>tended objectives and aims</w:t>
      </w:r>
      <w:r w:rsidRPr="00BA6C5E">
        <w:rPr>
          <w:color w:val="000000"/>
          <w:lang w:val="en-GB"/>
        </w:rPr>
        <w:t xml:space="preserve"> – to provide competencies in theoretical and practical knowledge, to help students to prepare methodologically for a future pedagogical work. The variety of teaching forms and </w:t>
      </w:r>
      <w:r>
        <w:rPr>
          <w:color w:val="000000"/>
          <w:lang w:val="en-GB"/>
        </w:rPr>
        <w:t xml:space="preserve">the </w:t>
      </w:r>
      <w:r w:rsidRPr="00BA6C5E">
        <w:rPr>
          <w:color w:val="000000"/>
          <w:lang w:val="en-GB"/>
        </w:rPr>
        <w:t>method of integrated teaching can be taken as an example because the creativity of students and their improvisational skill</w:t>
      </w:r>
      <w:r>
        <w:rPr>
          <w:color w:val="000000"/>
          <w:lang w:val="en-GB"/>
        </w:rPr>
        <w:t>s</w:t>
      </w:r>
      <w:r w:rsidRPr="00BA6C5E">
        <w:rPr>
          <w:color w:val="000000"/>
          <w:lang w:val="en-GB"/>
        </w:rPr>
        <w:t xml:space="preserve"> are encouraged during all </w:t>
      </w:r>
      <w:r>
        <w:rPr>
          <w:color w:val="000000"/>
          <w:lang w:val="en-GB"/>
        </w:rPr>
        <w:t xml:space="preserve">the </w:t>
      </w:r>
      <w:r w:rsidRPr="00BA6C5E">
        <w:rPr>
          <w:color w:val="000000"/>
          <w:lang w:val="en-GB"/>
        </w:rPr>
        <w:t xml:space="preserve">study process. </w:t>
      </w:r>
    </w:p>
    <w:p w:rsidR="008F519B" w:rsidRPr="00BA6C5E" w:rsidRDefault="008F519B" w:rsidP="00174068">
      <w:pPr>
        <w:pStyle w:val="Heading2"/>
      </w:pPr>
      <w:bookmarkStart w:id="19" w:name="_3._Staff"/>
      <w:bookmarkEnd w:id="19"/>
      <w:r w:rsidRPr="00BA6C5E">
        <w:t xml:space="preserve"> </w:t>
      </w:r>
      <w:bookmarkStart w:id="20" w:name="_Toc278293004"/>
      <w:r w:rsidRPr="00BA6C5E">
        <w:t>3. Staff</w:t>
      </w:r>
      <w:bookmarkEnd w:id="20"/>
      <w:r w:rsidRPr="00BA6C5E">
        <w:t xml:space="preserve"> </w:t>
      </w:r>
    </w:p>
    <w:p w:rsidR="008F519B" w:rsidRPr="00BA6C5E" w:rsidRDefault="008F519B" w:rsidP="00174068">
      <w:pPr>
        <w:pStyle w:val="Heading3"/>
      </w:pPr>
      <w:bookmarkStart w:id="21" w:name="_3.1._Staff_recruitment"/>
      <w:bookmarkEnd w:id="21"/>
      <w:r w:rsidRPr="00BA6C5E">
        <w:rPr>
          <w:color w:val="000000"/>
        </w:rPr>
        <w:t xml:space="preserve">  </w:t>
      </w:r>
      <w:bookmarkStart w:id="22" w:name="_Toc278293005"/>
      <w:r w:rsidRPr="00BA6C5E">
        <w:t>3.1. Staff composition and turnover</w:t>
      </w:r>
      <w:bookmarkEnd w:id="22"/>
      <w:r w:rsidRPr="00BA6C5E">
        <w:t xml:space="preserve"> </w:t>
      </w:r>
    </w:p>
    <w:p w:rsidR="008F519B" w:rsidRPr="00BA6C5E" w:rsidRDefault="008F519B" w:rsidP="00BE3BB8">
      <w:pPr>
        <w:spacing w:line="240" w:lineRule="auto"/>
        <w:rPr>
          <w:color w:val="000000"/>
          <w:lang w:val="en-GB"/>
        </w:rPr>
      </w:pPr>
      <w:r w:rsidRPr="00BA6C5E">
        <w:rPr>
          <w:lang w:val="en-GB"/>
        </w:rPr>
        <w:t xml:space="preserve"> </w:t>
      </w:r>
      <w:r w:rsidRPr="00BA6C5E">
        <w:rPr>
          <w:i/>
          <w:lang w:val="en-GB"/>
        </w:rPr>
        <w:t>3.1.1. Rationality of the staff composition</w:t>
      </w:r>
    </w:p>
    <w:p w:rsidR="008F519B" w:rsidRPr="00BA6C5E" w:rsidRDefault="008F519B" w:rsidP="00BE3BB8">
      <w:pPr>
        <w:pStyle w:val="Bodytext0"/>
        <w:ind w:firstLine="0"/>
        <w:rPr>
          <w:rFonts w:ascii="Times New Roman" w:hAnsi="Times New Roman"/>
          <w:sz w:val="24"/>
          <w:szCs w:val="24"/>
          <w:shd w:val="clear" w:color="auto" w:fill="FFFFFF"/>
        </w:rPr>
      </w:pPr>
      <w:r>
        <w:rPr>
          <w:rStyle w:val="longtext1"/>
          <w:rFonts w:ascii="Times New Roman" w:hAnsi="Times New Roman"/>
          <w:sz w:val="24"/>
          <w:szCs w:val="24"/>
          <w:shd w:val="clear" w:color="auto" w:fill="FFFFFF"/>
        </w:rPr>
        <w:t>The t</w:t>
      </w:r>
      <w:r w:rsidRPr="00BA6C5E">
        <w:rPr>
          <w:rStyle w:val="longtext1"/>
          <w:rFonts w:ascii="Times New Roman" w:hAnsi="Times New Roman"/>
          <w:sz w:val="24"/>
          <w:szCs w:val="24"/>
          <w:shd w:val="clear" w:color="auto" w:fill="FFFFFF"/>
        </w:rPr>
        <w:t xml:space="preserve">eachers' qualification is sufficient to achieve the aims of the study program and it is in accordance with General Requirements for </w:t>
      </w:r>
      <w:r w:rsidRPr="00D22421">
        <w:rPr>
          <w:rStyle w:val="longtext1"/>
          <w:rFonts w:ascii="Times New Roman" w:hAnsi="Times New Roman"/>
          <w:sz w:val="24"/>
          <w:szCs w:val="24"/>
          <w:shd w:val="clear" w:color="auto" w:fill="FFFFFF"/>
        </w:rPr>
        <w:t>the Degree-Conferring First Cycle study program: 74</w:t>
      </w:r>
      <w:r w:rsidRPr="00BA6C5E">
        <w:rPr>
          <w:rStyle w:val="longtext1"/>
          <w:rFonts w:ascii="Times New Roman" w:hAnsi="Times New Roman"/>
          <w:sz w:val="24"/>
          <w:szCs w:val="24"/>
          <w:shd w:val="clear" w:color="auto" w:fill="FFFFFF"/>
        </w:rPr>
        <w:t xml:space="preserve"> credits from all study subjects (more than</w:t>
      </w:r>
      <w:r w:rsidRPr="00BA6C5E">
        <w:rPr>
          <w:rFonts w:ascii="Times New Roman" w:hAnsi="Times New Roman"/>
          <w:sz w:val="24"/>
          <w:szCs w:val="24"/>
          <w:lang w:val="en-GB"/>
        </w:rPr>
        <w:t xml:space="preserve"> 80%) </w:t>
      </w:r>
      <w:r w:rsidRPr="00BA6C5E">
        <w:rPr>
          <w:rStyle w:val="longtext1"/>
          <w:rFonts w:ascii="Times New Roman" w:hAnsi="Times New Roman"/>
          <w:sz w:val="24"/>
          <w:szCs w:val="24"/>
          <w:shd w:val="clear" w:color="auto" w:fill="FFFFFF"/>
        </w:rPr>
        <w:t xml:space="preserve">are taught by teachers having scientific degree </w:t>
      </w:r>
      <w:r w:rsidRPr="00BA6C5E">
        <w:rPr>
          <w:rFonts w:ascii="Times New Roman" w:hAnsi="Times New Roman"/>
          <w:sz w:val="24"/>
          <w:szCs w:val="24"/>
          <w:lang w:val="en-GB"/>
        </w:rPr>
        <w:t xml:space="preserve">(or recognized artists), 42, 5% (more than 20%) of major study field subjects’ volume is taught by teachers holding a Professors academic degree. </w:t>
      </w:r>
      <w:r w:rsidRPr="00BA6C5E">
        <w:rPr>
          <w:rFonts w:ascii="Times New Roman" w:hAnsi="Times New Roman"/>
          <w:color w:val="000000"/>
          <w:sz w:val="24"/>
          <w:szCs w:val="24"/>
          <w:lang w:val="en-GB"/>
        </w:rPr>
        <w:t xml:space="preserve">Annex 3.3 gives evidence that most of the teachers do have a research and/or artistic activity in their teaching field. Experts found </w:t>
      </w:r>
      <w:r>
        <w:rPr>
          <w:rFonts w:ascii="Times New Roman" w:hAnsi="Times New Roman"/>
          <w:color w:val="000000"/>
          <w:sz w:val="24"/>
          <w:szCs w:val="24"/>
          <w:lang w:val="en-GB"/>
        </w:rPr>
        <w:t>a</w:t>
      </w:r>
      <w:r w:rsidRPr="00BA6C5E">
        <w:rPr>
          <w:rFonts w:ascii="Times New Roman" w:hAnsi="Times New Roman"/>
          <w:color w:val="000000"/>
          <w:sz w:val="24"/>
          <w:szCs w:val="24"/>
          <w:lang w:val="en-GB"/>
        </w:rPr>
        <w:t xml:space="preserve"> very positive</w:t>
      </w:r>
      <w:r>
        <w:rPr>
          <w:rFonts w:ascii="Times New Roman" w:hAnsi="Times New Roman"/>
          <w:color w:val="000000"/>
          <w:sz w:val="24"/>
          <w:szCs w:val="24"/>
          <w:lang w:val="en-GB"/>
        </w:rPr>
        <w:t xml:space="preserve"> change</w:t>
      </w:r>
      <w:r w:rsidRPr="00BA6C5E">
        <w:rPr>
          <w:rFonts w:ascii="Times New Roman" w:hAnsi="Times New Roman"/>
          <w:color w:val="000000"/>
          <w:sz w:val="24"/>
          <w:szCs w:val="24"/>
          <w:lang w:val="en-GB"/>
        </w:rPr>
        <w:t xml:space="preserve"> in </w:t>
      </w:r>
      <w:r>
        <w:rPr>
          <w:rFonts w:ascii="Times New Roman" w:hAnsi="Times New Roman"/>
          <w:color w:val="000000"/>
          <w:sz w:val="24"/>
          <w:szCs w:val="24"/>
          <w:lang w:val="en-GB"/>
        </w:rPr>
        <w:t xml:space="preserve">the </w:t>
      </w:r>
      <w:r w:rsidRPr="00BA6C5E">
        <w:rPr>
          <w:rFonts w:ascii="Times New Roman" w:hAnsi="Times New Roman"/>
          <w:color w:val="000000"/>
          <w:sz w:val="24"/>
          <w:szCs w:val="24"/>
          <w:lang w:val="en-GB"/>
        </w:rPr>
        <w:t xml:space="preserve">staff </w:t>
      </w:r>
      <w:r>
        <w:rPr>
          <w:rFonts w:ascii="Times New Roman" w:hAnsi="Times New Roman"/>
          <w:color w:val="000000"/>
          <w:sz w:val="24"/>
          <w:szCs w:val="24"/>
          <w:lang w:val="en-GB"/>
        </w:rPr>
        <w:t xml:space="preserve">composition </w:t>
      </w:r>
      <w:r w:rsidRPr="00BA6C5E">
        <w:rPr>
          <w:rFonts w:ascii="Times New Roman" w:hAnsi="Times New Roman"/>
          <w:color w:val="000000"/>
          <w:sz w:val="24"/>
          <w:szCs w:val="24"/>
          <w:lang w:val="en-GB"/>
        </w:rPr>
        <w:t xml:space="preserve">since </w:t>
      </w:r>
      <w:r>
        <w:rPr>
          <w:rFonts w:ascii="Times New Roman" w:hAnsi="Times New Roman"/>
          <w:color w:val="000000"/>
          <w:sz w:val="24"/>
          <w:szCs w:val="24"/>
          <w:lang w:val="en-GB"/>
        </w:rPr>
        <w:t xml:space="preserve">the </w:t>
      </w:r>
      <w:r w:rsidRPr="00BA6C5E">
        <w:rPr>
          <w:rFonts w:ascii="Times New Roman" w:hAnsi="Times New Roman"/>
          <w:color w:val="000000"/>
          <w:sz w:val="24"/>
          <w:szCs w:val="24"/>
          <w:lang w:val="en-GB"/>
        </w:rPr>
        <w:t xml:space="preserve">last assessment in 1999, </w:t>
      </w:r>
      <w:r>
        <w:rPr>
          <w:rFonts w:ascii="Times New Roman" w:hAnsi="Times New Roman"/>
          <w:color w:val="000000"/>
          <w:sz w:val="24"/>
          <w:szCs w:val="24"/>
          <w:lang w:val="en-GB"/>
        </w:rPr>
        <w:t xml:space="preserve">since </w:t>
      </w:r>
      <w:r w:rsidRPr="00BA6C5E">
        <w:rPr>
          <w:rFonts w:ascii="Times New Roman" w:hAnsi="Times New Roman"/>
          <w:color w:val="000000"/>
          <w:sz w:val="24"/>
          <w:szCs w:val="24"/>
          <w:lang w:val="en-GB"/>
        </w:rPr>
        <w:t>now 8 doctors</w:t>
      </w:r>
      <w:r>
        <w:rPr>
          <w:rFonts w:ascii="Times New Roman" w:hAnsi="Times New Roman"/>
          <w:color w:val="000000"/>
          <w:sz w:val="24"/>
          <w:szCs w:val="24"/>
          <w:lang w:val="en-GB"/>
        </w:rPr>
        <w:t xml:space="preserve"> out</w:t>
      </w:r>
      <w:r w:rsidRPr="00BA6C5E">
        <w:rPr>
          <w:rFonts w:ascii="Times New Roman" w:hAnsi="Times New Roman"/>
          <w:color w:val="000000"/>
          <w:sz w:val="24"/>
          <w:szCs w:val="24"/>
          <w:lang w:val="en-GB"/>
        </w:rPr>
        <w:t xml:space="preserve"> of 14 teach</w:t>
      </w:r>
      <w:r>
        <w:rPr>
          <w:rFonts w:ascii="Times New Roman" w:hAnsi="Times New Roman"/>
          <w:color w:val="000000"/>
          <w:sz w:val="24"/>
          <w:szCs w:val="24"/>
          <w:lang w:val="en-GB"/>
        </w:rPr>
        <w:t>ers</w:t>
      </w:r>
      <w:r w:rsidRPr="00BA6C5E">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run </w:t>
      </w:r>
      <w:r w:rsidRPr="00BA6C5E">
        <w:rPr>
          <w:rFonts w:ascii="Times New Roman" w:hAnsi="Times New Roman"/>
          <w:color w:val="000000"/>
          <w:sz w:val="24"/>
          <w:szCs w:val="24"/>
          <w:lang w:val="en-GB"/>
        </w:rPr>
        <w:t xml:space="preserve">the study </w:t>
      </w:r>
      <w:r>
        <w:rPr>
          <w:rFonts w:ascii="Times New Roman" w:hAnsi="Times New Roman"/>
          <w:color w:val="000000"/>
          <w:sz w:val="24"/>
          <w:szCs w:val="24"/>
          <w:lang w:val="en-GB"/>
        </w:rPr>
        <w:t>program</w:t>
      </w:r>
      <w:r w:rsidRPr="00BA6C5E">
        <w:rPr>
          <w:rFonts w:ascii="Times New Roman" w:hAnsi="Times New Roman"/>
          <w:color w:val="000000"/>
          <w:sz w:val="24"/>
          <w:szCs w:val="24"/>
          <w:lang w:val="en-GB"/>
        </w:rPr>
        <w:t>.</w:t>
      </w:r>
    </w:p>
    <w:p w:rsidR="008F519B" w:rsidRPr="00BA6C5E" w:rsidRDefault="008F519B" w:rsidP="00FB52E6">
      <w:pPr>
        <w:numPr>
          <w:ilvl w:val="8"/>
          <w:numId w:val="1"/>
        </w:numPr>
        <w:spacing w:line="240" w:lineRule="auto"/>
        <w:ind w:firstLine="360"/>
        <w:rPr>
          <w:color w:val="000000"/>
          <w:lang w:val="en-GB"/>
        </w:rPr>
      </w:pPr>
    </w:p>
    <w:p w:rsidR="008F519B" w:rsidRPr="00BA6C5E" w:rsidRDefault="008F519B" w:rsidP="00BE3BB8">
      <w:pPr>
        <w:spacing w:line="240" w:lineRule="auto"/>
        <w:rPr>
          <w:color w:val="000000"/>
          <w:lang w:val="en-GB"/>
        </w:rPr>
      </w:pPr>
      <w:r w:rsidRPr="00BA6C5E">
        <w:rPr>
          <w:i/>
          <w:color w:val="000000"/>
          <w:lang w:val="en-GB"/>
        </w:rPr>
        <w:t>3.1.2. Turnover of teachers</w:t>
      </w:r>
    </w:p>
    <w:p w:rsidR="008F519B" w:rsidRDefault="008F519B" w:rsidP="00BE3BB8">
      <w:pPr>
        <w:spacing w:line="240" w:lineRule="auto"/>
        <w:rPr>
          <w:color w:val="000000"/>
          <w:lang w:val="en-GB"/>
        </w:rPr>
      </w:pPr>
      <w:r>
        <w:rPr>
          <w:color w:val="000000"/>
          <w:lang w:val="en-GB"/>
        </w:rPr>
        <w:t>The t</w:t>
      </w:r>
      <w:r w:rsidRPr="00BA6C5E">
        <w:rPr>
          <w:color w:val="000000"/>
          <w:lang w:val="en-GB"/>
        </w:rPr>
        <w:t xml:space="preserve">urnover of teachers depends on regulations for periodical certification of teachers and </w:t>
      </w:r>
      <w:r>
        <w:rPr>
          <w:color w:val="000000"/>
          <w:lang w:val="en-GB"/>
        </w:rPr>
        <w:t xml:space="preserve">on </w:t>
      </w:r>
      <w:r w:rsidRPr="00BA6C5E">
        <w:rPr>
          <w:color w:val="000000"/>
          <w:lang w:val="en-GB"/>
        </w:rPr>
        <w:t>natural</w:t>
      </w:r>
      <w:r>
        <w:rPr>
          <w:color w:val="000000"/>
          <w:lang w:val="en-GB"/>
        </w:rPr>
        <w:t xml:space="preserve"> (age)</w:t>
      </w:r>
      <w:r w:rsidRPr="00BA6C5E">
        <w:rPr>
          <w:color w:val="000000"/>
          <w:lang w:val="en-GB"/>
        </w:rPr>
        <w:t xml:space="preserve"> reasons. As mentioned in </w:t>
      </w:r>
      <w:r>
        <w:rPr>
          <w:color w:val="000000"/>
          <w:lang w:val="en-GB"/>
        </w:rPr>
        <w:t xml:space="preserve">the </w:t>
      </w:r>
      <w:r w:rsidRPr="00BA6C5E">
        <w:rPr>
          <w:color w:val="000000"/>
          <w:lang w:val="en-GB"/>
        </w:rPr>
        <w:t>SA</w:t>
      </w:r>
      <w:r>
        <w:rPr>
          <w:color w:val="000000"/>
          <w:lang w:val="en-GB"/>
        </w:rPr>
        <w:t>,</w:t>
      </w:r>
      <w:r w:rsidRPr="00BA6C5E">
        <w:rPr>
          <w:color w:val="000000"/>
          <w:lang w:val="en-GB"/>
        </w:rPr>
        <w:t xml:space="preserve"> only </w:t>
      </w:r>
      <w:r w:rsidRPr="00BE3BB8">
        <w:rPr>
          <w:color w:val="000000"/>
          <w:lang w:val="en-GB"/>
        </w:rPr>
        <w:t xml:space="preserve">three long-time teachers of the Department of Music terminated their work and retired during 2005-2010 period. </w:t>
      </w:r>
      <w:r>
        <w:rPr>
          <w:color w:val="000000"/>
          <w:lang w:val="en-GB"/>
        </w:rPr>
        <w:t>The turnover of staff is minimal</w:t>
      </w:r>
      <w:r w:rsidRPr="00BE3BB8">
        <w:rPr>
          <w:color w:val="000000"/>
          <w:lang w:val="en-GB"/>
        </w:rPr>
        <w:t xml:space="preserve"> and do</w:t>
      </w:r>
      <w:r>
        <w:rPr>
          <w:color w:val="000000"/>
          <w:lang w:val="en-GB"/>
        </w:rPr>
        <w:t>es</w:t>
      </w:r>
      <w:r w:rsidRPr="00BE3BB8">
        <w:rPr>
          <w:color w:val="000000"/>
          <w:lang w:val="en-GB"/>
        </w:rPr>
        <w:t xml:space="preserve"> not influence the study program.</w:t>
      </w:r>
    </w:p>
    <w:p w:rsidR="008F519B" w:rsidRPr="00BE3BB8" w:rsidRDefault="008F519B" w:rsidP="00BE3BB8">
      <w:pPr>
        <w:spacing w:line="240" w:lineRule="auto"/>
        <w:rPr>
          <w:color w:val="000000"/>
          <w:lang w:val="en-GB"/>
        </w:rPr>
      </w:pPr>
    </w:p>
    <w:p w:rsidR="008F519B" w:rsidRPr="00BA6C5E" w:rsidRDefault="008F519B" w:rsidP="00174068">
      <w:pPr>
        <w:pStyle w:val="Heading3"/>
      </w:pPr>
      <w:bookmarkStart w:id="23" w:name="_3.2._Staff_competence"/>
      <w:bookmarkEnd w:id="23"/>
      <w:r w:rsidRPr="00BA6C5E">
        <w:rPr>
          <w:color w:val="000000"/>
        </w:rPr>
        <w:t xml:space="preserve"> </w:t>
      </w:r>
      <w:bookmarkStart w:id="24" w:name="_Toc278293006"/>
      <w:r w:rsidRPr="00BA6C5E">
        <w:t>3.2. Staff competence</w:t>
      </w:r>
      <w:bookmarkEnd w:id="24"/>
      <w:r w:rsidRPr="00BA6C5E">
        <w:t xml:space="preserve"> </w:t>
      </w:r>
    </w:p>
    <w:p w:rsidR="008F519B" w:rsidRPr="00BA6C5E" w:rsidRDefault="008F519B" w:rsidP="00FB52E6">
      <w:pPr>
        <w:spacing w:line="240" w:lineRule="auto"/>
        <w:rPr>
          <w:i/>
          <w:color w:val="000000"/>
          <w:lang w:val="en-GB"/>
        </w:rPr>
      </w:pPr>
      <w:r w:rsidRPr="00BA6C5E">
        <w:rPr>
          <w:color w:val="000000"/>
          <w:lang w:val="en-GB"/>
        </w:rPr>
        <w:t>3.2.1.</w:t>
      </w:r>
      <w:r w:rsidRPr="00BA6C5E">
        <w:rPr>
          <w:i/>
          <w:color w:val="000000"/>
          <w:lang w:val="en-GB"/>
        </w:rPr>
        <w:t xml:space="preserve"> Compliance of staff experience with the study </w:t>
      </w:r>
      <w:r>
        <w:rPr>
          <w:i/>
          <w:color w:val="000000"/>
          <w:lang w:val="en-GB"/>
        </w:rPr>
        <w:t>program</w:t>
      </w:r>
    </w:p>
    <w:p w:rsidR="008F519B" w:rsidRPr="00BA6C5E" w:rsidRDefault="008F519B" w:rsidP="00012344">
      <w:pPr>
        <w:spacing w:line="240" w:lineRule="auto"/>
        <w:contextualSpacing/>
        <w:rPr>
          <w:lang w:val="en-GB"/>
        </w:rPr>
      </w:pPr>
      <w:r>
        <w:rPr>
          <w:color w:val="000000"/>
          <w:lang w:val="en-GB"/>
        </w:rPr>
        <w:t>The m</w:t>
      </w:r>
      <w:r w:rsidRPr="00BA6C5E">
        <w:rPr>
          <w:color w:val="000000"/>
          <w:lang w:val="en-GB"/>
        </w:rPr>
        <w:t xml:space="preserve">ain core of staff has </w:t>
      </w:r>
      <w:r>
        <w:rPr>
          <w:color w:val="000000"/>
          <w:lang w:val="en-GB"/>
        </w:rPr>
        <w:t xml:space="preserve">between </w:t>
      </w:r>
      <w:r w:rsidRPr="00BA6C5E">
        <w:rPr>
          <w:color w:val="000000"/>
          <w:lang w:val="en-GB"/>
        </w:rPr>
        <w:t>20</w:t>
      </w:r>
      <w:r>
        <w:rPr>
          <w:color w:val="000000"/>
          <w:lang w:val="en-GB"/>
        </w:rPr>
        <w:t xml:space="preserve"> and </w:t>
      </w:r>
      <w:r w:rsidRPr="00BA6C5E">
        <w:rPr>
          <w:color w:val="000000"/>
          <w:lang w:val="en-GB"/>
        </w:rPr>
        <w:t xml:space="preserve">32 years </w:t>
      </w:r>
      <w:r>
        <w:rPr>
          <w:color w:val="000000"/>
          <w:lang w:val="en-GB"/>
        </w:rPr>
        <w:t xml:space="preserve">of </w:t>
      </w:r>
      <w:r w:rsidRPr="00BA6C5E">
        <w:rPr>
          <w:color w:val="000000"/>
          <w:lang w:val="en-GB"/>
        </w:rPr>
        <w:t>teaching experience</w:t>
      </w:r>
      <w:r>
        <w:rPr>
          <w:color w:val="000000"/>
          <w:lang w:val="en-GB"/>
        </w:rPr>
        <w:t xml:space="preserve"> and the other teachers have between 10 and 20 years</w:t>
      </w:r>
      <w:r w:rsidRPr="00BA6C5E">
        <w:rPr>
          <w:color w:val="000000"/>
          <w:lang w:val="en-GB"/>
        </w:rPr>
        <w:t>.</w:t>
      </w:r>
      <w:r w:rsidRPr="00BA6C5E">
        <w:rPr>
          <w:shd w:val="clear" w:color="auto" w:fill="FFFFFF"/>
        </w:rPr>
        <w:t xml:space="preserve"> </w:t>
      </w:r>
      <w:r>
        <w:rPr>
          <w:shd w:val="clear" w:color="auto" w:fill="FFFFFF"/>
        </w:rPr>
        <w:t>The t</w:t>
      </w:r>
      <w:r w:rsidRPr="00BA6C5E">
        <w:rPr>
          <w:rStyle w:val="longtext1"/>
          <w:sz w:val="24"/>
          <w:szCs w:val="24"/>
          <w:shd w:val="clear" w:color="auto" w:fill="FFFFFF"/>
        </w:rPr>
        <w:t xml:space="preserve">eachers' qualification is sufficient to achieve the aims of the study program, is in accordance with </w:t>
      </w:r>
      <w:r>
        <w:rPr>
          <w:rStyle w:val="longtext1"/>
          <w:sz w:val="24"/>
          <w:szCs w:val="24"/>
          <w:shd w:val="clear" w:color="auto" w:fill="FFFFFF"/>
        </w:rPr>
        <w:t xml:space="preserve">the </w:t>
      </w:r>
      <w:r w:rsidRPr="00BA6C5E">
        <w:rPr>
          <w:rStyle w:val="longtext1"/>
          <w:sz w:val="24"/>
          <w:szCs w:val="24"/>
          <w:shd w:val="clear" w:color="auto" w:fill="FFFFFF"/>
        </w:rPr>
        <w:t>General Requirements for the Degree-Conferring First Cycle study program and legal requirements for Education (Pedagogy): 20 credits (50</w:t>
      </w:r>
      <w:r w:rsidRPr="00BA6C5E">
        <w:rPr>
          <w:lang w:val="en-GB"/>
        </w:rPr>
        <w:t xml:space="preserve">%) of study field subjects’ volume </w:t>
      </w:r>
      <w:r w:rsidRPr="00BA6C5E">
        <w:rPr>
          <w:rStyle w:val="longtext1"/>
          <w:sz w:val="24"/>
          <w:szCs w:val="24"/>
          <w:shd w:val="clear" w:color="auto" w:fill="FFFFFF"/>
        </w:rPr>
        <w:t>are taught by teachers having scientific degree and their research field corresponds to subje</w:t>
      </w:r>
      <w:r>
        <w:rPr>
          <w:rStyle w:val="longtext1"/>
          <w:sz w:val="24"/>
          <w:szCs w:val="24"/>
          <w:shd w:val="clear" w:color="auto" w:fill="FFFFFF"/>
        </w:rPr>
        <w:t>cts field they teach. In fact, ov</w:t>
      </w:r>
      <w:r w:rsidRPr="00BA6C5E">
        <w:rPr>
          <w:rStyle w:val="longtext1"/>
          <w:sz w:val="24"/>
          <w:szCs w:val="24"/>
          <w:shd w:val="clear" w:color="auto" w:fill="FFFFFF"/>
        </w:rPr>
        <w:t xml:space="preserve">er 90% of teachers in this </w:t>
      </w:r>
      <w:r>
        <w:rPr>
          <w:rStyle w:val="longtext1"/>
          <w:sz w:val="24"/>
          <w:szCs w:val="24"/>
          <w:shd w:val="clear" w:color="auto" w:fill="FFFFFF"/>
        </w:rPr>
        <w:t>program</w:t>
      </w:r>
      <w:r w:rsidRPr="00BA6C5E">
        <w:rPr>
          <w:rStyle w:val="longtext1"/>
          <w:sz w:val="24"/>
          <w:szCs w:val="24"/>
          <w:shd w:val="clear" w:color="auto" w:fill="FFFFFF"/>
        </w:rPr>
        <w:t xml:space="preserve"> are doctors and professors or associate professors. </w:t>
      </w:r>
      <w:r w:rsidRPr="00BA6C5E">
        <w:rPr>
          <w:color w:val="000000"/>
          <w:lang w:val="en-GB"/>
        </w:rPr>
        <w:t xml:space="preserve">Annex 3.3 gives evidence that most of the teachers do have a research and/or artistic activity in their teaching field. The commission also thinks that the Music program would benefit from more intensive </w:t>
      </w:r>
      <w:r>
        <w:rPr>
          <w:color w:val="000000"/>
          <w:lang w:val="en-GB"/>
        </w:rPr>
        <w:t xml:space="preserve">teachers </w:t>
      </w:r>
      <w:r w:rsidRPr="00BA6C5E">
        <w:rPr>
          <w:color w:val="000000"/>
          <w:lang w:val="en-GB"/>
        </w:rPr>
        <w:t xml:space="preserve">exchange under Erasmus </w:t>
      </w:r>
      <w:r>
        <w:rPr>
          <w:color w:val="000000"/>
          <w:lang w:val="en-GB"/>
        </w:rPr>
        <w:t xml:space="preserve">programs and the like, giving new ideas and </w:t>
      </w:r>
      <w:r w:rsidRPr="009C02A4">
        <w:rPr>
          <w:color w:val="000000"/>
          <w:lang w:val="en-GB"/>
        </w:rPr>
        <w:t xml:space="preserve">impetus (see recommendation </w:t>
      </w:r>
      <w:r>
        <w:rPr>
          <w:color w:val="000000"/>
          <w:lang w:val="en-GB"/>
        </w:rPr>
        <w:t>III.</w:t>
      </w:r>
      <w:r w:rsidRPr="009C02A4">
        <w:rPr>
          <w:color w:val="000000"/>
          <w:lang w:val="en-GB"/>
        </w:rPr>
        <w:t>3.3)</w:t>
      </w:r>
    </w:p>
    <w:p w:rsidR="008F519B" w:rsidRPr="00BA6C5E" w:rsidRDefault="008F519B" w:rsidP="00170D41">
      <w:pPr>
        <w:numPr>
          <w:ilvl w:val="8"/>
          <w:numId w:val="1"/>
        </w:numPr>
        <w:spacing w:line="240" w:lineRule="auto"/>
        <w:ind w:firstLine="360"/>
        <w:rPr>
          <w:color w:val="000000"/>
          <w:lang w:val="en-GB"/>
        </w:rPr>
      </w:pPr>
    </w:p>
    <w:p w:rsidR="008F519B" w:rsidRPr="00BA6C5E" w:rsidRDefault="008F519B" w:rsidP="004C369D">
      <w:pPr>
        <w:spacing w:line="240" w:lineRule="auto"/>
        <w:rPr>
          <w:color w:val="000000"/>
          <w:lang w:val="en-GB"/>
        </w:rPr>
      </w:pPr>
      <w:r w:rsidRPr="00BA6C5E">
        <w:rPr>
          <w:color w:val="000000"/>
          <w:lang w:val="en-GB"/>
        </w:rPr>
        <w:t xml:space="preserve">3.2.2. </w:t>
      </w:r>
      <w:r w:rsidRPr="00BA6C5E">
        <w:rPr>
          <w:i/>
          <w:lang w:val="en-GB"/>
        </w:rPr>
        <w:t>Consistency of teachers’ professional development</w:t>
      </w:r>
    </w:p>
    <w:p w:rsidR="008F519B" w:rsidRPr="00BA6C5E" w:rsidRDefault="008F519B" w:rsidP="004C369D">
      <w:pPr>
        <w:spacing w:line="240" w:lineRule="auto"/>
        <w:rPr>
          <w:color w:val="000000"/>
          <w:lang w:val="en-GB"/>
        </w:rPr>
      </w:pPr>
      <w:r>
        <w:rPr>
          <w:color w:val="000000"/>
          <w:lang w:val="en-GB"/>
        </w:rPr>
        <w:t>The p</w:t>
      </w:r>
      <w:r w:rsidRPr="00BA6C5E">
        <w:rPr>
          <w:color w:val="000000"/>
          <w:lang w:val="en-GB"/>
        </w:rPr>
        <w:t xml:space="preserve">rofessional development is described in </w:t>
      </w:r>
      <w:r>
        <w:rPr>
          <w:color w:val="000000"/>
          <w:lang w:val="en-GB"/>
        </w:rPr>
        <w:t xml:space="preserve">the </w:t>
      </w:r>
      <w:r w:rsidRPr="00BA6C5E">
        <w:rPr>
          <w:color w:val="000000"/>
          <w:lang w:val="en-GB"/>
        </w:rPr>
        <w:t xml:space="preserve">official acts of </w:t>
      </w:r>
      <w:r>
        <w:rPr>
          <w:color w:val="000000"/>
          <w:lang w:val="en-GB"/>
        </w:rPr>
        <w:t xml:space="preserve">the </w:t>
      </w:r>
      <w:r w:rsidRPr="00BA6C5E">
        <w:rPr>
          <w:color w:val="000000"/>
          <w:lang w:val="en-GB"/>
        </w:rPr>
        <w:t xml:space="preserve">Government and </w:t>
      </w:r>
      <w:r>
        <w:rPr>
          <w:color w:val="000000"/>
          <w:lang w:val="en-GB"/>
        </w:rPr>
        <w:t>the U</w:t>
      </w:r>
      <w:r w:rsidRPr="00BA6C5E">
        <w:rPr>
          <w:color w:val="000000"/>
          <w:lang w:val="en-GB"/>
        </w:rPr>
        <w:t xml:space="preserve">niversity and is </w:t>
      </w:r>
      <w:r>
        <w:rPr>
          <w:color w:val="000000"/>
          <w:lang w:val="en-GB"/>
        </w:rPr>
        <w:t>compulsory</w:t>
      </w:r>
      <w:r w:rsidRPr="00BA6C5E">
        <w:rPr>
          <w:color w:val="000000"/>
          <w:lang w:val="en-GB"/>
        </w:rPr>
        <w:t xml:space="preserve"> for all employed persons (pedagogues)</w:t>
      </w:r>
      <w:r>
        <w:rPr>
          <w:color w:val="000000"/>
          <w:lang w:val="en-GB"/>
        </w:rPr>
        <w:t>,</w:t>
      </w:r>
      <w:r w:rsidRPr="00BA6C5E">
        <w:rPr>
          <w:color w:val="000000"/>
          <w:lang w:val="en-GB"/>
        </w:rPr>
        <w:t xml:space="preserve"> with </w:t>
      </w:r>
      <w:r>
        <w:rPr>
          <w:color w:val="000000"/>
          <w:lang w:val="en-GB"/>
        </w:rPr>
        <w:t xml:space="preserve">a </w:t>
      </w:r>
      <w:r w:rsidRPr="00BA6C5E">
        <w:rPr>
          <w:color w:val="000000"/>
          <w:lang w:val="en-GB"/>
        </w:rPr>
        <w:t xml:space="preserve">certification </w:t>
      </w:r>
      <w:r>
        <w:rPr>
          <w:color w:val="000000"/>
          <w:lang w:val="en-GB"/>
        </w:rPr>
        <w:t>process every</w:t>
      </w:r>
      <w:r w:rsidRPr="00BA6C5E">
        <w:rPr>
          <w:color w:val="000000"/>
          <w:lang w:val="en-GB"/>
        </w:rPr>
        <w:t xml:space="preserve"> 4-5 years. There are also special educological and training courses where a</w:t>
      </w:r>
      <w:r>
        <w:rPr>
          <w:color w:val="000000"/>
          <w:lang w:val="en-GB"/>
        </w:rPr>
        <w:t xml:space="preserve">ll pedagogues </w:t>
      </w:r>
      <w:r w:rsidRPr="00BA6C5E">
        <w:rPr>
          <w:color w:val="000000"/>
          <w:lang w:val="en-GB"/>
        </w:rPr>
        <w:t xml:space="preserve">participated. The SA gives a clear view of very active teachers’ professional development and participation in the international projects and </w:t>
      </w:r>
      <w:r>
        <w:rPr>
          <w:color w:val="000000"/>
          <w:lang w:val="en-GB"/>
        </w:rPr>
        <w:t>program</w:t>
      </w:r>
      <w:r w:rsidRPr="00BA6C5E">
        <w:rPr>
          <w:color w:val="000000"/>
          <w:lang w:val="en-GB"/>
        </w:rPr>
        <w:t>s (SA, p. 19):  “</w:t>
      </w:r>
      <w:r w:rsidRPr="00BA6C5E">
        <w:rPr>
          <w:bCs/>
          <w:i/>
          <w:color w:val="000000"/>
          <w:lang w:val="en-GB"/>
        </w:rPr>
        <w:t xml:space="preserve">Improvement of Higher Education Teachers’ Pedagogical Competences” (BPD 2004-ESF-2.4-03-05/0161) financed by EU funds </w:t>
      </w:r>
      <w:r w:rsidRPr="00BA6C5E">
        <w:rPr>
          <w:i/>
          <w:iCs/>
          <w:color w:val="000000"/>
          <w:lang w:val="en-GB"/>
        </w:rPr>
        <w:t>(Assoc. Prof. Dr. J. Abramauskienė, Assoc. Prof. Dr. R. Kirliauskienė). Assoc. Prof. Dr. J. Lasauskienė</w:t>
      </w:r>
      <w:r w:rsidRPr="00BA6C5E">
        <w:rPr>
          <w:i/>
          <w:color w:val="000000"/>
          <w:lang w:val="en-GB"/>
        </w:rPr>
        <w:t xml:space="preserve"> participated in the ESF project “</w:t>
      </w:r>
      <w:r w:rsidRPr="00BA6C5E">
        <w:rPr>
          <w:bCs/>
          <w:i/>
          <w:color w:val="000000"/>
          <w:lang w:val="en-GB"/>
        </w:rPr>
        <w:t xml:space="preserve">Creation of Interuniversity Consortium of Doctoral Study </w:t>
      </w:r>
      <w:r>
        <w:rPr>
          <w:bCs/>
          <w:i/>
          <w:color w:val="000000"/>
          <w:lang w:val="en-GB"/>
        </w:rPr>
        <w:t>Program</w:t>
      </w:r>
      <w:r w:rsidRPr="00BA6C5E">
        <w:rPr>
          <w:bCs/>
          <w:i/>
          <w:color w:val="000000"/>
          <w:lang w:val="en-GB"/>
        </w:rPr>
        <w:t xml:space="preserve"> of Educational Science”</w:t>
      </w:r>
      <w:r w:rsidRPr="00BA6C5E">
        <w:rPr>
          <w:bCs/>
          <w:i/>
          <w:iCs/>
          <w:color w:val="000000"/>
          <w:lang w:val="en-GB"/>
        </w:rPr>
        <w:t xml:space="preserve"> (B</w:t>
      </w:r>
      <w:r w:rsidRPr="00BA6C5E">
        <w:rPr>
          <w:bCs/>
          <w:i/>
          <w:color w:val="000000"/>
          <w:lang w:val="en-GB"/>
        </w:rPr>
        <w:t xml:space="preserve">PD 2004-ESF-2.5.0-01-04/0012), </w:t>
      </w:r>
      <w:r w:rsidRPr="00BA6C5E">
        <w:rPr>
          <w:i/>
          <w:color w:val="000000"/>
          <w:lang w:val="en-GB"/>
        </w:rPr>
        <w:t>“Training of Education Quality Managers Developing Quality Assurance</w:t>
      </w:r>
      <w:r w:rsidRPr="00BA6C5E">
        <w:rPr>
          <w:i/>
          <w:lang w:val="en-GB"/>
        </w:rPr>
        <w:t xml:space="preserve"> System in Lithuania“ (BDF 2004-ESF-2.5.0-K01-014/SUT-83), “Improvement of Higher Education Teachers’ Pedagogical Competences and Ability to Apply Modern Study Technologies” (BDF 2004-ESF-2.4.0-03-05/0161) in project group activity. Assoc. Prof. Dr.</w:t>
      </w:r>
      <w:r w:rsidRPr="00BA6C5E">
        <w:rPr>
          <w:bCs/>
          <w:i/>
          <w:iCs/>
          <w:lang w:val="en-GB"/>
        </w:rPr>
        <w:t xml:space="preserve"> H. Šečkuvienė</w:t>
      </w:r>
      <w:r w:rsidRPr="00BA6C5E">
        <w:rPr>
          <w:bCs/>
          <w:i/>
          <w:lang w:val="en-GB"/>
        </w:rPr>
        <w:t xml:space="preserve"> worked as expert in the project </w:t>
      </w:r>
      <w:r w:rsidRPr="00BA6C5E">
        <w:rPr>
          <w:i/>
          <w:lang w:val="en-GB"/>
        </w:rPr>
        <w:t>ESF-</w:t>
      </w:r>
      <w:r w:rsidRPr="00BA6C5E">
        <w:rPr>
          <w:bCs/>
          <w:i/>
          <w:lang w:val="en-GB"/>
        </w:rPr>
        <w:t xml:space="preserve">2.4-037 </w:t>
      </w:r>
      <w:r w:rsidRPr="00BA6C5E">
        <w:rPr>
          <w:i/>
          <w:lang w:val="en-GB"/>
        </w:rPr>
        <w:t xml:space="preserve">“Improvement of Study Practice and Mentoring System of Novice Teachers through Preparation of Educators-Tutors with Mentor Competences” (in cooperation with VPU partners from ŠU, KU, VMU; 2005 – 2008). </w:t>
      </w:r>
      <w:r>
        <w:rPr>
          <w:lang w:val="en-GB"/>
        </w:rPr>
        <w:t>The p</w:t>
      </w:r>
      <w:r w:rsidRPr="00BA6C5E">
        <w:rPr>
          <w:lang w:val="en-GB"/>
        </w:rPr>
        <w:t xml:space="preserve">rofessional development of </w:t>
      </w:r>
      <w:r>
        <w:rPr>
          <w:lang w:val="en-GB"/>
        </w:rPr>
        <w:t xml:space="preserve">the </w:t>
      </w:r>
      <w:r w:rsidRPr="00BA6C5E">
        <w:rPr>
          <w:lang w:val="en-GB"/>
        </w:rPr>
        <w:t xml:space="preserve">other teachers is presented in Annex 3.3. </w:t>
      </w:r>
      <w:r>
        <w:rPr>
          <w:lang w:val="en-GB"/>
        </w:rPr>
        <w:t>The e</w:t>
      </w:r>
      <w:r w:rsidRPr="00BA6C5E">
        <w:rPr>
          <w:color w:val="000000"/>
          <w:lang w:val="en-GB"/>
        </w:rPr>
        <w:t xml:space="preserve">xperts </w:t>
      </w:r>
      <w:r>
        <w:rPr>
          <w:color w:val="000000"/>
          <w:lang w:val="en-GB"/>
        </w:rPr>
        <w:t>commend the VPU for the quality of this process.</w:t>
      </w:r>
    </w:p>
    <w:p w:rsidR="008F519B" w:rsidRDefault="008F519B" w:rsidP="00174068">
      <w:pPr>
        <w:pStyle w:val="Heading2"/>
      </w:pPr>
      <w:bookmarkStart w:id="25" w:name="_4._Material_resources"/>
      <w:bookmarkEnd w:id="25"/>
    </w:p>
    <w:p w:rsidR="008F519B" w:rsidRPr="00BA6C5E" w:rsidRDefault="008F519B" w:rsidP="008459A5">
      <w:pPr>
        <w:pStyle w:val="Heading2"/>
        <w:spacing w:line="240" w:lineRule="auto"/>
      </w:pPr>
      <w:bookmarkStart w:id="26" w:name="_Toc278293007"/>
      <w:r w:rsidRPr="00BA6C5E">
        <w:t>4. Facilities and learning resources</w:t>
      </w:r>
      <w:bookmarkEnd w:id="26"/>
      <w:r w:rsidRPr="00BA6C5E">
        <w:t xml:space="preserve"> </w:t>
      </w:r>
    </w:p>
    <w:p w:rsidR="008F519B" w:rsidRPr="00BA6C5E" w:rsidRDefault="008F519B" w:rsidP="008459A5">
      <w:pPr>
        <w:pStyle w:val="Heading3"/>
        <w:spacing w:line="240" w:lineRule="auto"/>
        <w:rPr>
          <w:color w:val="000000"/>
        </w:rPr>
      </w:pPr>
      <w:bookmarkStart w:id="27" w:name="_4.1._Facilities"/>
      <w:bookmarkStart w:id="28" w:name="_Toc278293008"/>
      <w:bookmarkEnd w:id="27"/>
      <w:r w:rsidRPr="00BA6C5E">
        <w:t>4.1. Facilities</w:t>
      </w:r>
      <w:bookmarkEnd w:id="28"/>
      <w:r w:rsidRPr="00BA6C5E">
        <w:t xml:space="preserve"> </w:t>
      </w:r>
    </w:p>
    <w:p w:rsidR="008F519B" w:rsidRPr="00BA6C5E" w:rsidRDefault="008F519B" w:rsidP="002F58B7">
      <w:pPr>
        <w:spacing w:line="240" w:lineRule="auto"/>
        <w:rPr>
          <w:color w:val="000000"/>
          <w:lang w:val="en-GB"/>
        </w:rPr>
      </w:pPr>
      <w:r w:rsidRPr="00BA6C5E">
        <w:rPr>
          <w:lang w:val="en-GB"/>
        </w:rPr>
        <w:t>4.1.1.</w:t>
      </w:r>
      <w:r w:rsidRPr="00BA6C5E">
        <w:rPr>
          <w:i/>
          <w:lang w:val="en-GB"/>
        </w:rPr>
        <w:t xml:space="preserve"> Sufficiency and suitability of premises for studies</w:t>
      </w:r>
    </w:p>
    <w:p w:rsidR="008F519B" w:rsidRPr="00BA6C5E" w:rsidRDefault="008F519B" w:rsidP="002F58B7">
      <w:pPr>
        <w:spacing w:line="240" w:lineRule="auto"/>
        <w:rPr>
          <w:color w:val="000000"/>
          <w:lang w:val="en-GB"/>
        </w:rPr>
      </w:pPr>
      <w:r w:rsidRPr="00BA6C5E">
        <w:rPr>
          <w:color w:val="000000"/>
          <w:lang w:val="en-GB"/>
        </w:rPr>
        <w:t>According</w:t>
      </w:r>
      <w:r>
        <w:rPr>
          <w:color w:val="000000"/>
          <w:lang w:val="en-GB"/>
        </w:rPr>
        <w:t xml:space="preserve"> to the SA, there appears to be a </w:t>
      </w:r>
      <w:r w:rsidRPr="00BA6C5E">
        <w:rPr>
          <w:color w:val="000000"/>
          <w:lang w:val="en-GB"/>
        </w:rPr>
        <w:t xml:space="preserve">sufficient </w:t>
      </w:r>
      <w:r w:rsidRPr="00BA6C5E">
        <w:rPr>
          <w:iCs/>
          <w:lang w:val="en-GB"/>
        </w:rPr>
        <w:t xml:space="preserve">number of classrooms for contact </w:t>
      </w:r>
      <w:r w:rsidRPr="00BA6C5E">
        <w:rPr>
          <w:iCs/>
          <w:color w:val="000000"/>
          <w:lang w:val="en-GB"/>
        </w:rPr>
        <w:t>and practical work, classrooms with audio and video equipment, computers, internet access, musical instruments and audio-video material</w:t>
      </w:r>
      <w:r w:rsidRPr="00BA6C5E">
        <w:rPr>
          <w:color w:val="000000"/>
          <w:lang w:val="en-GB"/>
        </w:rPr>
        <w:t xml:space="preserve">. The SA indicates a list of 15 classrooms used for realization of a study </w:t>
      </w:r>
      <w:r>
        <w:rPr>
          <w:color w:val="000000"/>
          <w:lang w:val="en-GB"/>
        </w:rPr>
        <w:t>program</w:t>
      </w:r>
      <w:r w:rsidRPr="00BA6C5E">
        <w:rPr>
          <w:color w:val="000000"/>
          <w:lang w:val="en-GB"/>
        </w:rPr>
        <w:t xml:space="preserve"> (SA p. 22, Table 6). </w:t>
      </w:r>
    </w:p>
    <w:p w:rsidR="008F519B" w:rsidRPr="00BA6C5E" w:rsidRDefault="008F519B" w:rsidP="003544A0">
      <w:pPr>
        <w:ind w:left="7776" w:right="-158"/>
        <w:rPr>
          <w:i/>
          <w:iCs/>
          <w:sz w:val="18"/>
          <w:szCs w:val="18"/>
          <w:lang w:val="en-GB"/>
        </w:rPr>
      </w:pPr>
      <w:r w:rsidRPr="00BA6C5E">
        <w:rPr>
          <w:i/>
          <w:iCs/>
          <w:sz w:val="18"/>
          <w:szCs w:val="18"/>
          <w:lang w:val="en-GB"/>
        </w:rPr>
        <w:t>Table 6</w:t>
      </w:r>
    </w:p>
    <w:p w:rsidR="008F519B" w:rsidRPr="00BA6C5E" w:rsidRDefault="008F519B" w:rsidP="003544A0">
      <w:pPr>
        <w:jc w:val="center"/>
        <w:rPr>
          <w:b/>
          <w:sz w:val="18"/>
          <w:szCs w:val="18"/>
          <w:lang w:val="en-GB"/>
        </w:rPr>
      </w:pPr>
      <w:r w:rsidRPr="00BA6C5E">
        <w:rPr>
          <w:b/>
          <w:sz w:val="18"/>
          <w:szCs w:val="18"/>
          <w:lang w:val="en-GB"/>
        </w:rPr>
        <w:t>Technical provision of classrooms and their hygienic condition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745"/>
        <w:gridCol w:w="6895"/>
      </w:tblGrid>
      <w:tr w:rsidR="008F519B" w:rsidRPr="00BA6C5E" w:rsidTr="00F975F8">
        <w:tc>
          <w:tcPr>
            <w:tcW w:w="1260" w:type="dxa"/>
            <w:shd w:val="clear" w:color="auto" w:fill="D9D9D9"/>
          </w:tcPr>
          <w:p w:rsidR="008F519B" w:rsidRPr="00BA6C5E" w:rsidRDefault="008F519B" w:rsidP="00F975F8">
            <w:pPr>
              <w:autoSpaceDE w:val="0"/>
              <w:autoSpaceDN w:val="0"/>
              <w:adjustRightInd w:val="0"/>
              <w:jc w:val="center"/>
              <w:rPr>
                <w:bCs/>
                <w:sz w:val="18"/>
                <w:szCs w:val="18"/>
                <w:lang w:val="en-GB"/>
              </w:rPr>
            </w:pPr>
            <w:r w:rsidRPr="00BA6C5E">
              <w:rPr>
                <w:bCs/>
                <w:sz w:val="18"/>
                <w:szCs w:val="18"/>
                <w:lang w:val="en-GB"/>
              </w:rPr>
              <w:t>Room no.</w:t>
            </w:r>
          </w:p>
        </w:tc>
        <w:tc>
          <w:tcPr>
            <w:tcW w:w="1745" w:type="dxa"/>
            <w:shd w:val="clear" w:color="auto" w:fill="D9D9D9"/>
          </w:tcPr>
          <w:p w:rsidR="008F519B" w:rsidRPr="00BA6C5E" w:rsidRDefault="008F519B" w:rsidP="00F975F8">
            <w:pPr>
              <w:autoSpaceDE w:val="0"/>
              <w:autoSpaceDN w:val="0"/>
              <w:adjustRightInd w:val="0"/>
              <w:jc w:val="center"/>
              <w:rPr>
                <w:bCs/>
                <w:sz w:val="18"/>
                <w:szCs w:val="18"/>
                <w:lang w:val="en-GB"/>
              </w:rPr>
            </w:pPr>
            <w:r w:rsidRPr="00BA6C5E">
              <w:rPr>
                <w:bCs/>
                <w:sz w:val="18"/>
                <w:szCs w:val="18"/>
                <w:lang w:val="en-GB"/>
              </w:rPr>
              <w:t>Seating capacity</w:t>
            </w:r>
          </w:p>
        </w:tc>
        <w:tc>
          <w:tcPr>
            <w:tcW w:w="6895" w:type="dxa"/>
            <w:shd w:val="clear" w:color="auto" w:fill="D9D9D9"/>
          </w:tcPr>
          <w:p w:rsidR="008F519B" w:rsidRPr="00BA6C5E" w:rsidRDefault="008F519B" w:rsidP="00F975F8">
            <w:pPr>
              <w:autoSpaceDE w:val="0"/>
              <w:autoSpaceDN w:val="0"/>
              <w:adjustRightInd w:val="0"/>
              <w:jc w:val="center"/>
              <w:rPr>
                <w:bCs/>
                <w:sz w:val="18"/>
                <w:szCs w:val="18"/>
                <w:lang w:val="en-GB"/>
              </w:rPr>
            </w:pPr>
            <w:r w:rsidRPr="00BA6C5E">
              <w:rPr>
                <w:bCs/>
                <w:sz w:val="18"/>
                <w:szCs w:val="18"/>
                <w:lang w:val="en-GB"/>
              </w:rPr>
              <w:t>Equipment available</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131</w:t>
            </w:r>
          </w:p>
        </w:tc>
        <w:tc>
          <w:tcPr>
            <w:tcW w:w="1745" w:type="dxa"/>
          </w:tcPr>
          <w:p w:rsidR="008F519B" w:rsidRPr="00BA6C5E" w:rsidRDefault="008F519B" w:rsidP="00F975F8">
            <w:pPr>
              <w:autoSpaceDE w:val="0"/>
              <w:autoSpaceDN w:val="0"/>
              <w:adjustRightInd w:val="0"/>
              <w:jc w:val="center"/>
              <w:rPr>
                <w:bCs/>
                <w:sz w:val="18"/>
                <w:szCs w:val="18"/>
                <w:lang w:val="en-GB"/>
              </w:rPr>
            </w:pPr>
            <w:r w:rsidRPr="00BA6C5E">
              <w:rPr>
                <w:bCs/>
                <w:sz w:val="18"/>
                <w:szCs w:val="18"/>
                <w:lang w:val="en-GB"/>
              </w:rPr>
              <w:t>48</w:t>
            </w:r>
          </w:p>
        </w:tc>
        <w:tc>
          <w:tcPr>
            <w:tcW w:w="6895" w:type="dxa"/>
          </w:tcPr>
          <w:p w:rsidR="008F519B" w:rsidRPr="00BA6C5E" w:rsidRDefault="008F519B" w:rsidP="00F975F8">
            <w:pPr>
              <w:autoSpaceDE w:val="0"/>
              <w:autoSpaceDN w:val="0"/>
              <w:adjustRightInd w:val="0"/>
              <w:rPr>
                <w:bCs/>
                <w:color w:val="000000"/>
                <w:sz w:val="18"/>
                <w:szCs w:val="18"/>
                <w:lang w:val="en-GB"/>
              </w:rPr>
            </w:pPr>
            <w:r w:rsidRPr="00BA6C5E">
              <w:rPr>
                <w:color w:val="000000"/>
                <w:sz w:val="18"/>
                <w:szCs w:val="18"/>
                <w:lang w:val="en-GB"/>
              </w:rPr>
              <w:t xml:space="preserve">Stationary multimedia equipment, computer, video projector, audio equipment, projector screen, loudspeakers. </w:t>
            </w:r>
          </w:p>
        </w:tc>
      </w:tr>
      <w:tr w:rsidR="008F519B" w:rsidRPr="00BA6C5E" w:rsidTr="00F975F8">
        <w:tc>
          <w:tcPr>
            <w:tcW w:w="1260" w:type="dxa"/>
          </w:tcPr>
          <w:p w:rsidR="008F519B" w:rsidRPr="00BA6C5E" w:rsidRDefault="008F519B" w:rsidP="00F975F8">
            <w:pPr>
              <w:jc w:val="center"/>
              <w:rPr>
                <w:sz w:val="18"/>
                <w:szCs w:val="18"/>
                <w:highlight w:val="yellow"/>
                <w:lang w:val="en-GB"/>
              </w:rPr>
            </w:pPr>
            <w:r w:rsidRPr="00BA6C5E">
              <w:rPr>
                <w:sz w:val="18"/>
                <w:szCs w:val="18"/>
                <w:lang w:val="en-GB"/>
              </w:rPr>
              <w:t>324</w:t>
            </w:r>
          </w:p>
        </w:tc>
        <w:tc>
          <w:tcPr>
            <w:tcW w:w="1745" w:type="dxa"/>
          </w:tcPr>
          <w:p w:rsidR="008F519B" w:rsidRPr="00BA6C5E" w:rsidRDefault="008F519B" w:rsidP="00F975F8">
            <w:pPr>
              <w:autoSpaceDE w:val="0"/>
              <w:autoSpaceDN w:val="0"/>
              <w:adjustRightInd w:val="0"/>
              <w:jc w:val="center"/>
              <w:rPr>
                <w:bCs/>
                <w:sz w:val="18"/>
                <w:szCs w:val="18"/>
                <w:lang w:val="en-GB"/>
              </w:rPr>
            </w:pPr>
            <w:r w:rsidRPr="00BA6C5E">
              <w:rPr>
                <w:bCs/>
                <w:sz w:val="18"/>
                <w:szCs w:val="18"/>
                <w:lang w:val="en-GB"/>
              </w:rPr>
              <w:t>23</w:t>
            </w:r>
          </w:p>
        </w:tc>
        <w:tc>
          <w:tcPr>
            <w:tcW w:w="6895" w:type="dxa"/>
          </w:tcPr>
          <w:p w:rsidR="008F519B" w:rsidRPr="00BA6C5E" w:rsidRDefault="008F519B" w:rsidP="00F975F8">
            <w:pPr>
              <w:autoSpaceDE w:val="0"/>
              <w:autoSpaceDN w:val="0"/>
              <w:adjustRightInd w:val="0"/>
              <w:rPr>
                <w:bCs/>
                <w:color w:val="000000"/>
                <w:sz w:val="18"/>
                <w:szCs w:val="18"/>
                <w:lang w:val="en-GB"/>
              </w:rPr>
            </w:pPr>
            <w:r w:rsidRPr="00BA6C5E">
              <w:rPr>
                <w:color w:val="000000"/>
                <w:sz w:val="18"/>
                <w:szCs w:val="18"/>
                <w:lang w:val="en-GB"/>
              </w:rPr>
              <w:t>Stationary multimedia equipment, computer, OHP, loudspeakers, audio equipment, projector screen, magnetic board, printer.</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L319</w:t>
            </w:r>
          </w:p>
        </w:tc>
        <w:tc>
          <w:tcPr>
            <w:tcW w:w="1745" w:type="dxa"/>
          </w:tcPr>
          <w:p w:rsidR="008F519B" w:rsidRPr="00BA6C5E" w:rsidRDefault="008F519B" w:rsidP="00F975F8">
            <w:pPr>
              <w:autoSpaceDE w:val="0"/>
              <w:autoSpaceDN w:val="0"/>
              <w:adjustRightInd w:val="0"/>
              <w:jc w:val="center"/>
              <w:rPr>
                <w:bCs/>
                <w:sz w:val="18"/>
                <w:szCs w:val="18"/>
                <w:lang w:val="en-GB"/>
              </w:rPr>
            </w:pPr>
            <w:r w:rsidRPr="00BA6C5E">
              <w:rPr>
                <w:bCs/>
                <w:sz w:val="18"/>
                <w:szCs w:val="18"/>
                <w:lang w:val="en-GB"/>
              </w:rPr>
              <w:t>26</w:t>
            </w:r>
          </w:p>
        </w:tc>
        <w:tc>
          <w:tcPr>
            <w:tcW w:w="6895" w:type="dxa"/>
          </w:tcPr>
          <w:p w:rsidR="008F519B" w:rsidRPr="00BA6C5E" w:rsidRDefault="008F519B" w:rsidP="00F975F8">
            <w:pPr>
              <w:autoSpaceDE w:val="0"/>
              <w:autoSpaceDN w:val="0"/>
              <w:adjustRightInd w:val="0"/>
              <w:rPr>
                <w:bCs/>
                <w:color w:val="000000"/>
                <w:sz w:val="18"/>
                <w:szCs w:val="18"/>
                <w:lang w:val="en-GB"/>
              </w:rPr>
            </w:pPr>
            <w:r w:rsidRPr="00BA6C5E">
              <w:rPr>
                <w:color w:val="000000"/>
                <w:sz w:val="18"/>
                <w:szCs w:val="18"/>
                <w:lang w:val="en-GB"/>
              </w:rPr>
              <w:t>Stationary multimedia equipment, projector screen, writing board</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L317</w:t>
            </w:r>
          </w:p>
        </w:tc>
        <w:tc>
          <w:tcPr>
            <w:tcW w:w="1745" w:type="dxa"/>
          </w:tcPr>
          <w:p w:rsidR="008F519B" w:rsidRPr="00BA6C5E" w:rsidRDefault="008F519B" w:rsidP="00F975F8">
            <w:pPr>
              <w:autoSpaceDE w:val="0"/>
              <w:autoSpaceDN w:val="0"/>
              <w:adjustRightInd w:val="0"/>
              <w:jc w:val="center"/>
              <w:rPr>
                <w:bCs/>
                <w:sz w:val="18"/>
                <w:szCs w:val="18"/>
                <w:lang w:val="en-GB"/>
              </w:rPr>
            </w:pPr>
            <w:r w:rsidRPr="00BA6C5E">
              <w:rPr>
                <w:bCs/>
                <w:sz w:val="18"/>
                <w:szCs w:val="18"/>
                <w:lang w:val="en-GB"/>
              </w:rPr>
              <w:t>10</w:t>
            </w:r>
          </w:p>
        </w:tc>
        <w:tc>
          <w:tcPr>
            <w:tcW w:w="6895" w:type="dxa"/>
          </w:tcPr>
          <w:p w:rsidR="008F519B" w:rsidRPr="00BA6C5E" w:rsidRDefault="008F519B" w:rsidP="00F975F8">
            <w:pPr>
              <w:autoSpaceDE w:val="0"/>
              <w:autoSpaceDN w:val="0"/>
              <w:adjustRightInd w:val="0"/>
              <w:rPr>
                <w:color w:val="000000"/>
                <w:sz w:val="18"/>
                <w:szCs w:val="18"/>
                <w:lang w:val="en-GB"/>
              </w:rPr>
            </w:pPr>
            <w:r w:rsidRPr="00BA6C5E">
              <w:rPr>
                <w:color w:val="000000"/>
                <w:sz w:val="18"/>
                <w:szCs w:val="18"/>
                <w:lang w:val="en-GB"/>
              </w:rPr>
              <w:t>10 computers, projector screen, multimedia equipment</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509</w:t>
            </w:r>
          </w:p>
        </w:tc>
        <w:tc>
          <w:tcPr>
            <w:tcW w:w="1745" w:type="dxa"/>
          </w:tcPr>
          <w:p w:rsidR="008F519B" w:rsidRPr="00BA6C5E" w:rsidRDefault="008F519B" w:rsidP="00F975F8">
            <w:pPr>
              <w:autoSpaceDE w:val="0"/>
              <w:autoSpaceDN w:val="0"/>
              <w:adjustRightInd w:val="0"/>
              <w:jc w:val="center"/>
              <w:rPr>
                <w:bCs/>
                <w:sz w:val="18"/>
                <w:szCs w:val="18"/>
                <w:lang w:val="en-GB"/>
              </w:rPr>
            </w:pPr>
            <w:r w:rsidRPr="00BA6C5E">
              <w:rPr>
                <w:bCs/>
                <w:sz w:val="18"/>
                <w:szCs w:val="18"/>
                <w:lang w:val="en-GB"/>
              </w:rPr>
              <w:t>46</w:t>
            </w:r>
          </w:p>
        </w:tc>
        <w:tc>
          <w:tcPr>
            <w:tcW w:w="6895" w:type="dxa"/>
          </w:tcPr>
          <w:p w:rsidR="008F519B" w:rsidRPr="00BA6C5E" w:rsidRDefault="008F519B" w:rsidP="00F975F8">
            <w:pPr>
              <w:autoSpaceDE w:val="0"/>
              <w:autoSpaceDN w:val="0"/>
              <w:adjustRightInd w:val="0"/>
              <w:rPr>
                <w:bCs/>
                <w:color w:val="000000"/>
                <w:sz w:val="18"/>
                <w:szCs w:val="18"/>
                <w:lang w:val="en-GB"/>
              </w:rPr>
            </w:pPr>
            <w:r w:rsidRPr="00BA6C5E">
              <w:rPr>
                <w:color w:val="000000"/>
                <w:sz w:val="18"/>
                <w:szCs w:val="18"/>
                <w:lang w:val="en-GB"/>
              </w:rPr>
              <w:t>OHP, video and audio equipment, television, piano, writing board, projector screen</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507</w:t>
            </w:r>
          </w:p>
        </w:tc>
        <w:tc>
          <w:tcPr>
            <w:tcW w:w="1745" w:type="dxa"/>
          </w:tcPr>
          <w:p w:rsidR="008F519B" w:rsidRPr="00BA6C5E" w:rsidRDefault="008F519B" w:rsidP="00F975F8">
            <w:pPr>
              <w:autoSpaceDE w:val="0"/>
              <w:autoSpaceDN w:val="0"/>
              <w:adjustRightInd w:val="0"/>
              <w:jc w:val="center"/>
              <w:rPr>
                <w:bCs/>
                <w:sz w:val="18"/>
                <w:szCs w:val="18"/>
                <w:lang w:val="en-GB"/>
              </w:rPr>
            </w:pPr>
            <w:r w:rsidRPr="00BA6C5E">
              <w:rPr>
                <w:bCs/>
                <w:sz w:val="18"/>
                <w:szCs w:val="18"/>
                <w:lang w:val="en-GB"/>
              </w:rPr>
              <w:t>17</w:t>
            </w:r>
          </w:p>
        </w:tc>
        <w:tc>
          <w:tcPr>
            <w:tcW w:w="6895" w:type="dxa"/>
          </w:tcPr>
          <w:p w:rsidR="008F519B" w:rsidRPr="00BA6C5E" w:rsidRDefault="008F519B" w:rsidP="00F975F8">
            <w:pPr>
              <w:autoSpaceDE w:val="0"/>
              <w:autoSpaceDN w:val="0"/>
              <w:adjustRightInd w:val="0"/>
              <w:rPr>
                <w:bCs/>
                <w:color w:val="000000"/>
                <w:sz w:val="18"/>
                <w:szCs w:val="18"/>
                <w:lang w:val="en-GB"/>
              </w:rPr>
            </w:pPr>
            <w:r w:rsidRPr="00BA6C5E">
              <w:rPr>
                <w:color w:val="000000"/>
                <w:sz w:val="18"/>
                <w:szCs w:val="18"/>
                <w:lang w:val="en-GB"/>
              </w:rPr>
              <w:t>Piano, writing board</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245</w:t>
            </w:r>
          </w:p>
        </w:tc>
        <w:tc>
          <w:tcPr>
            <w:tcW w:w="1745" w:type="dxa"/>
          </w:tcPr>
          <w:p w:rsidR="008F519B" w:rsidRPr="00BA6C5E" w:rsidRDefault="008F519B" w:rsidP="00F975F8">
            <w:pPr>
              <w:autoSpaceDE w:val="0"/>
              <w:autoSpaceDN w:val="0"/>
              <w:adjustRightInd w:val="0"/>
              <w:jc w:val="center"/>
              <w:rPr>
                <w:bCs/>
                <w:sz w:val="18"/>
                <w:szCs w:val="18"/>
                <w:lang w:val="en-GB"/>
              </w:rPr>
            </w:pPr>
            <w:r w:rsidRPr="00BA6C5E">
              <w:rPr>
                <w:bCs/>
                <w:sz w:val="18"/>
                <w:szCs w:val="18"/>
                <w:lang w:val="en-GB"/>
              </w:rPr>
              <w:t>26</w:t>
            </w:r>
          </w:p>
        </w:tc>
        <w:tc>
          <w:tcPr>
            <w:tcW w:w="6895" w:type="dxa"/>
          </w:tcPr>
          <w:p w:rsidR="008F519B" w:rsidRPr="00BA6C5E" w:rsidRDefault="008F519B" w:rsidP="00F975F8">
            <w:pPr>
              <w:autoSpaceDE w:val="0"/>
              <w:autoSpaceDN w:val="0"/>
              <w:adjustRightInd w:val="0"/>
              <w:rPr>
                <w:bCs/>
                <w:color w:val="000000"/>
                <w:sz w:val="18"/>
                <w:szCs w:val="18"/>
                <w:lang w:val="en-GB"/>
              </w:rPr>
            </w:pPr>
            <w:r w:rsidRPr="00BA6C5E">
              <w:rPr>
                <w:color w:val="000000"/>
                <w:sz w:val="18"/>
                <w:szCs w:val="18"/>
                <w:lang w:val="en-GB"/>
              </w:rPr>
              <w:t>Piano, writing board</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123</w:t>
            </w:r>
          </w:p>
        </w:tc>
        <w:tc>
          <w:tcPr>
            <w:tcW w:w="1745" w:type="dxa"/>
          </w:tcPr>
          <w:p w:rsidR="008F519B" w:rsidRPr="00BA6C5E" w:rsidRDefault="008F519B" w:rsidP="00F975F8">
            <w:pPr>
              <w:jc w:val="center"/>
              <w:rPr>
                <w:sz w:val="18"/>
                <w:szCs w:val="18"/>
                <w:lang w:val="en-GB"/>
              </w:rPr>
            </w:pPr>
            <w:r w:rsidRPr="00BA6C5E">
              <w:rPr>
                <w:sz w:val="18"/>
                <w:szCs w:val="18"/>
                <w:lang w:val="en-GB"/>
              </w:rPr>
              <w:t>Individual work</w:t>
            </w:r>
          </w:p>
        </w:tc>
        <w:tc>
          <w:tcPr>
            <w:tcW w:w="6895" w:type="dxa"/>
          </w:tcPr>
          <w:p w:rsidR="008F519B" w:rsidRPr="00BA6C5E" w:rsidRDefault="008F519B" w:rsidP="00F975F8">
            <w:pPr>
              <w:ind w:right="-157"/>
              <w:rPr>
                <w:color w:val="000000"/>
                <w:sz w:val="18"/>
                <w:szCs w:val="18"/>
                <w:lang w:val="en-GB"/>
              </w:rPr>
            </w:pPr>
            <w:r w:rsidRPr="00BA6C5E">
              <w:rPr>
                <w:color w:val="000000"/>
                <w:sz w:val="18"/>
                <w:szCs w:val="18"/>
                <w:lang w:val="en-GB"/>
              </w:rPr>
              <w:t>Piano, methodological literature.</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315</w:t>
            </w:r>
          </w:p>
        </w:tc>
        <w:tc>
          <w:tcPr>
            <w:tcW w:w="1745" w:type="dxa"/>
          </w:tcPr>
          <w:p w:rsidR="008F519B" w:rsidRPr="00BA6C5E" w:rsidRDefault="008F519B" w:rsidP="00F975F8">
            <w:pPr>
              <w:jc w:val="center"/>
              <w:rPr>
                <w:sz w:val="18"/>
                <w:szCs w:val="18"/>
                <w:highlight w:val="yellow"/>
                <w:lang w:val="en-GB"/>
              </w:rPr>
            </w:pPr>
            <w:r w:rsidRPr="00BA6C5E">
              <w:rPr>
                <w:sz w:val="18"/>
                <w:szCs w:val="18"/>
                <w:lang w:val="en-GB"/>
              </w:rPr>
              <w:t>8</w:t>
            </w:r>
          </w:p>
        </w:tc>
        <w:tc>
          <w:tcPr>
            <w:tcW w:w="6895" w:type="dxa"/>
          </w:tcPr>
          <w:p w:rsidR="008F519B" w:rsidRPr="00BA6C5E" w:rsidRDefault="008F519B" w:rsidP="00F975F8">
            <w:pPr>
              <w:ind w:right="-157"/>
              <w:rPr>
                <w:color w:val="000000"/>
                <w:sz w:val="18"/>
                <w:szCs w:val="18"/>
                <w:lang w:val="en-GB"/>
              </w:rPr>
            </w:pPr>
            <w:r w:rsidRPr="00BA6C5E">
              <w:rPr>
                <w:color w:val="000000"/>
                <w:sz w:val="18"/>
                <w:szCs w:val="18"/>
                <w:lang w:val="en-GB"/>
              </w:rPr>
              <w:t xml:space="preserve">8 </w:t>
            </w:r>
            <w:r w:rsidRPr="00BA6C5E">
              <w:rPr>
                <w:rStyle w:val="hw"/>
                <w:rFonts w:ascii="Times New Roman" w:hAnsi="Times New Roman" w:cs="Times New Roman"/>
                <w:b w:val="0"/>
                <w:color w:val="000000"/>
                <w:sz w:val="18"/>
                <w:szCs w:val="18"/>
                <w:lang w:val="en-GB"/>
              </w:rPr>
              <w:t>synthesizer</w:t>
            </w:r>
            <w:r w:rsidRPr="00BA6C5E">
              <w:rPr>
                <w:color w:val="000000"/>
                <w:sz w:val="18"/>
                <w:szCs w:val="18"/>
                <w:lang w:val="en-GB"/>
              </w:rPr>
              <w:t>s</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508</w:t>
            </w:r>
          </w:p>
        </w:tc>
        <w:tc>
          <w:tcPr>
            <w:tcW w:w="1745" w:type="dxa"/>
          </w:tcPr>
          <w:p w:rsidR="008F519B" w:rsidRPr="00BA6C5E" w:rsidRDefault="008F519B" w:rsidP="00F975F8">
            <w:pPr>
              <w:jc w:val="center"/>
              <w:rPr>
                <w:sz w:val="18"/>
                <w:szCs w:val="18"/>
                <w:lang w:val="en-GB"/>
              </w:rPr>
            </w:pPr>
            <w:r w:rsidRPr="00BA6C5E">
              <w:rPr>
                <w:sz w:val="18"/>
                <w:szCs w:val="18"/>
                <w:lang w:val="en-GB"/>
              </w:rPr>
              <w:t>Individual work</w:t>
            </w:r>
          </w:p>
        </w:tc>
        <w:tc>
          <w:tcPr>
            <w:tcW w:w="6895" w:type="dxa"/>
          </w:tcPr>
          <w:p w:rsidR="008F519B" w:rsidRPr="00BA6C5E" w:rsidRDefault="008F519B" w:rsidP="00F975F8">
            <w:pPr>
              <w:ind w:right="-157"/>
              <w:rPr>
                <w:color w:val="000000"/>
                <w:sz w:val="18"/>
                <w:szCs w:val="18"/>
                <w:lang w:val="en-GB"/>
              </w:rPr>
            </w:pPr>
            <w:r w:rsidRPr="00BA6C5E">
              <w:rPr>
                <w:color w:val="000000"/>
                <w:sz w:val="18"/>
                <w:szCs w:val="18"/>
                <w:lang w:val="en-GB"/>
              </w:rPr>
              <w:t xml:space="preserve">Piano, </w:t>
            </w:r>
            <w:r w:rsidRPr="00BA6C5E">
              <w:rPr>
                <w:rStyle w:val="hw"/>
                <w:rFonts w:ascii="Times New Roman" w:hAnsi="Times New Roman" w:cs="Times New Roman"/>
                <w:b w:val="0"/>
                <w:color w:val="000000"/>
                <w:sz w:val="18"/>
                <w:szCs w:val="18"/>
                <w:lang w:val="en-GB"/>
              </w:rPr>
              <w:t>synthesizer</w:t>
            </w:r>
            <w:r w:rsidRPr="00BA6C5E">
              <w:rPr>
                <w:color w:val="000000"/>
                <w:sz w:val="18"/>
                <w:szCs w:val="18"/>
                <w:lang w:val="en-GB"/>
              </w:rPr>
              <w:t>, 3 kanklės, 4 lamzdeliai, set of skudučiai, methodological literature, set of percussion instruments</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510</w:t>
            </w:r>
          </w:p>
        </w:tc>
        <w:tc>
          <w:tcPr>
            <w:tcW w:w="1745" w:type="dxa"/>
          </w:tcPr>
          <w:p w:rsidR="008F519B" w:rsidRPr="00BA6C5E" w:rsidRDefault="008F519B" w:rsidP="00F975F8">
            <w:pPr>
              <w:rPr>
                <w:sz w:val="18"/>
                <w:szCs w:val="18"/>
                <w:lang w:val="en-GB"/>
              </w:rPr>
            </w:pPr>
            <w:r w:rsidRPr="00BA6C5E">
              <w:rPr>
                <w:sz w:val="18"/>
                <w:szCs w:val="18"/>
                <w:lang w:val="en-GB"/>
              </w:rPr>
              <w:t>Individual work</w:t>
            </w:r>
          </w:p>
        </w:tc>
        <w:tc>
          <w:tcPr>
            <w:tcW w:w="6895" w:type="dxa"/>
          </w:tcPr>
          <w:p w:rsidR="008F519B" w:rsidRPr="00BA6C5E" w:rsidRDefault="008F519B" w:rsidP="00F975F8">
            <w:pPr>
              <w:ind w:right="-157"/>
              <w:rPr>
                <w:color w:val="000000"/>
                <w:sz w:val="18"/>
                <w:szCs w:val="18"/>
                <w:lang w:val="en-GB"/>
              </w:rPr>
            </w:pPr>
            <w:r w:rsidRPr="00BA6C5E">
              <w:rPr>
                <w:color w:val="000000"/>
                <w:sz w:val="18"/>
                <w:szCs w:val="18"/>
                <w:lang w:val="en-GB"/>
              </w:rPr>
              <w:t>2 pianos, methodological literature, portable computer, multimedia, Video camera.</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512</w:t>
            </w:r>
          </w:p>
        </w:tc>
        <w:tc>
          <w:tcPr>
            <w:tcW w:w="1745" w:type="dxa"/>
          </w:tcPr>
          <w:p w:rsidR="008F519B" w:rsidRPr="00BA6C5E" w:rsidRDefault="008F519B" w:rsidP="00F975F8">
            <w:pPr>
              <w:rPr>
                <w:sz w:val="18"/>
                <w:szCs w:val="18"/>
                <w:lang w:val="en-GB"/>
              </w:rPr>
            </w:pPr>
            <w:r w:rsidRPr="00BA6C5E">
              <w:rPr>
                <w:sz w:val="18"/>
                <w:szCs w:val="18"/>
                <w:lang w:val="en-GB"/>
              </w:rPr>
              <w:t>Individual work</w:t>
            </w:r>
          </w:p>
        </w:tc>
        <w:tc>
          <w:tcPr>
            <w:tcW w:w="6895" w:type="dxa"/>
          </w:tcPr>
          <w:p w:rsidR="008F519B" w:rsidRPr="00BA6C5E" w:rsidRDefault="008F519B" w:rsidP="00F975F8">
            <w:pPr>
              <w:ind w:right="-157"/>
              <w:rPr>
                <w:color w:val="000000"/>
                <w:sz w:val="18"/>
                <w:szCs w:val="18"/>
                <w:lang w:val="en-GB"/>
              </w:rPr>
            </w:pPr>
            <w:r w:rsidRPr="00BA6C5E">
              <w:rPr>
                <w:color w:val="000000"/>
                <w:sz w:val="18"/>
                <w:szCs w:val="18"/>
                <w:lang w:val="en-GB"/>
              </w:rPr>
              <w:t>Grand piano, 3 accordions, methodological literature.</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513</w:t>
            </w:r>
          </w:p>
        </w:tc>
        <w:tc>
          <w:tcPr>
            <w:tcW w:w="1745" w:type="dxa"/>
          </w:tcPr>
          <w:p w:rsidR="008F519B" w:rsidRPr="00BA6C5E" w:rsidRDefault="008F519B" w:rsidP="00F975F8">
            <w:pPr>
              <w:jc w:val="center"/>
              <w:rPr>
                <w:sz w:val="18"/>
                <w:szCs w:val="18"/>
                <w:lang w:val="en-GB"/>
              </w:rPr>
            </w:pPr>
            <w:r w:rsidRPr="00BA6C5E">
              <w:rPr>
                <w:sz w:val="18"/>
                <w:szCs w:val="18"/>
                <w:lang w:val="en-GB"/>
              </w:rPr>
              <w:t>3</w:t>
            </w:r>
          </w:p>
        </w:tc>
        <w:tc>
          <w:tcPr>
            <w:tcW w:w="6895" w:type="dxa"/>
          </w:tcPr>
          <w:p w:rsidR="008F519B" w:rsidRPr="00BA6C5E" w:rsidRDefault="008F519B" w:rsidP="00F975F8">
            <w:pPr>
              <w:ind w:right="-157"/>
              <w:rPr>
                <w:color w:val="000000"/>
                <w:sz w:val="18"/>
                <w:szCs w:val="18"/>
                <w:lang w:val="en-GB"/>
              </w:rPr>
            </w:pPr>
            <w:r w:rsidRPr="00BA6C5E">
              <w:rPr>
                <w:color w:val="000000"/>
                <w:sz w:val="18"/>
                <w:szCs w:val="18"/>
                <w:lang w:val="en-GB"/>
              </w:rPr>
              <w:t xml:space="preserve">Methodological study room of music: accumulated research, methodological, music literature, teaching aid; piano, rhythmic instruments, 2 kanklės, 5 lamzdeliai, school pipes, 2 sets of skudučiai, 10 </w:t>
            </w:r>
            <w:r w:rsidRPr="00BA6C5E">
              <w:rPr>
                <w:sz w:val="18"/>
                <w:szCs w:val="18"/>
                <w:lang w:val="en-GB"/>
              </w:rPr>
              <w:t>recorders.</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516</w:t>
            </w:r>
          </w:p>
        </w:tc>
        <w:tc>
          <w:tcPr>
            <w:tcW w:w="1745" w:type="dxa"/>
          </w:tcPr>
          <w:p w:rsidR="008F519B" w:rsidRPr="00BA6C5E" w:rsidRDefault="008F519B" w:rsidP="00F975F8">
            <w:pPr>
              <w:rPr>
                <w:sz w:val="18"/>
                <w:szCs w:val="18"/>
                <w:lang w:val="en-GB"/>
              </w:rPr>
            </w:pPr>
            <w:r w:rsidRPr="00BA6C5E">
              <w:rPr>
                <w:sz w:val="18"/>
                <w:szCs w:val="18"/>
                <w:lang w:val="en-GB"/>
              </w:rPr>
              <w:t>Individual work</w:t>
            </w:r>
          </w:p>
        </w:tc>
        <w:tc>
          <w:tcPr>
            <w:tcW w:w="6895" w:type="dxa"/>
          </w:tcPr>
          <w:p w:rsidR="008F519B" w:rsidRPr="00BA6C5E" w:rsidRDefault="008F519B" w:rsidP="00F975F8">
            <w:pPr>
              <w:ind w:right="-157"/>
              <w:rPr>
                <w:color w:val="000000"/>
                <w:sz w:val="18"/>
                <w:szCs w:val="18"/>
                <w:lang w:val="en-GB"/>
              </w:rPr>
            </w:pPr>
            <w:r w:rsidRPr="00BA6C5E">
              <w:rPr>
                <w:color w:val="000000"/>
                <w:sz w:val="18"/>
                <w:szCs w:val="18"/>
                <w:lang w:val="en-GB"/>
              </w:rPr>
              <w:t>1 piano, guitar, methodological literature.</w:t>
            </w:r>
          </w:p>
        </w:tc>
      </w:tr>
      <w:tr w:rsidR="008F519B" w:rsidRPr="00BA6C5E" w:rsidTr="00F975F8">
        <w:tc>
          <w:tcPr>
            <w:tcW w:w="1260" w:type="dxa"/>
          </w:tcPr>
          <w:p w:rsidR="008F519B" w:rsidRPr="00BA6C5E" w:rsidRDefault="008F519B" w:rsidP="00F975F8">
            <w:pPr>
              <w:jc w:val="center"/>
              <w:rPr>
                <w:sz w:val="18"/>
                <w:szCs w:val="18"/>
                <w:lang w:val="en-GB"/>
              </w:rPr>
            </w:pPr>
            <w:r w:rsidRPr="00BA6C5E">
              <w:rPr>
                <w:sz w:val="18"/>
                <w:szCs w:val="18"/>
                <w:lang w:val="en-GB"/>
              </w:rPr>
              <w:t>517</w:t>
            </w:r>
          </w:p>
        </w:tc>
        <w:tc>
          <w:tcPr>
            <w:tcW w:w="1745" w:type="dxa"/>
          </w:tcPr>
          <w:p w:rsidR="008F519B" w:rsidRPr="00BA6C5E" w:rsidRDefault="008F519B" w:rsidP="00F975F8">
            <w:pPr>
              <w:rPr>
                <w:sz w:val="18"/>
                <w:szCs w:val="18"/>
                <w:lang w:val="en-GB"/>
              </w:rPr>
            </w:pPr>
            <w:r w:rsidRPr="00BA6C5E">
              <w:rPr>
                <w:sz w:val="18"/>
                <w:szCs w:val="18"/>
                <w:lang w:val="en-GB"/>
              </w:rPr>
              <w:t>Individual work</w:t>
            </w:r>
          </w:p>
        </w:tc>
        <w:tc>
          <w:tcPr>
            <w:tcW w:w="6895" w:type="dxa"/>
          </w:tcPr>
          <w:p w:rsidR="008F519B" w:rsidRPr="00BA6C5E" w:rsidRDefault="008F519B" w:rsidP="00F975F8">
            <w:pPr>
              <w:ind w:right="-157"/>
              <w:rPr>
                <w:color w:val="000000"/>
                <w:sz w:val="18"/>
                <w:szCs w:val="18"/>
                <w:lang w:val="en-GB"/>
              </w:rPr>
            </w:pPr>
            <w:r w:rsidRPr="00BA6C5E">
              <w:rPr>
                <w:color w:val="000000"/>
                <w:sz w:val="18"/>
                <w:szCs w:val="18"/>
                <w:lang w:val="en-GB"/>
              </w:rPr>
              <w:t>2 pianos, methodological literature.</w:t>
            </w:r>
          </w:p>
        </w:tc>
      </w:tr>
    </w:tbl>
    <w:p w:rsidR="008F519B" w:rsidRPr="00BA6C5E" w:rsidRDefault="008F519B" w:rsidP="003544A0">
      <w:pPr>
        <w:ind w:firstLine="540"/>
        <w:rPr>
          <w:sz w:val="18"/>
          <w:szCs w:val="18"/>
          <w:lang w:val="en-GB"/>
        </w:rPr>
      </w:pPr>
    </w:p>
    <w:p w:rsidR="008F519B" w:rsidRDefault="008F519B" w:rsidP="002F58B7">
      <w:pPr>
        <w:spacing w:line="240" w:lineRule="auto"/>
        <w:rPr>
          <w:color w:val="000000"/>
          <w:lang w:val="en-GB"/>
        </w:rPr>
      </w:pPr>
      <w:r>
        <w:rPr>
          <w:color w:val="000000"/>
          <w:lang w:val="en-GB"/>
        </w:rPr>
        <w:t>In addition, the A</w:t>
      </w:r>
      <w:r w:rsidRPr="00BA6C5E">
        <w:rPr>
          <w:color w:val="000000"/>
          <w:lang w:val="en-GB"/>
        </w:rPr>
        <w:t xml:space="preserve">ssembly hall, the Big and the Small halls are used for music events, projects and concerts too. The visiting experts note that there is an adequate ratio between </w:t>
      </w:r>
      <w:r>
        <w:rPr>
          <w:color w:val="000000"/>
          <w:lang w:val="en-GB"/>
        </w:rPr>
        <w:t xml:space="preserve">the </w:t>
      </w:r>
      <w:r w:rsidRPr="00BA6C5E">
        <w:rPr>
          <w:color w:val="000000"/>
          <w:lang w:val="en-GB"/>
        </w:rPr>
        <w:t xml:space="preserve">premises for studies and </w:t>
      </w:r>
      <w:r>
        <w:rPr>
          <w:color w:val="000000"/>
          <w:lang w:val="en-GB"/>
        </w:rPr>
        <w:t xml:space="preserve">the </w:t>
      </w:r>
      <w:r w:rsidRPr="00BA6C5E">
        <w:rPr>
          <w:color w:val="000000"/>
          <w:lang w:val="en-GB"/>
        </w:rPr>
        <w:t>number of students</w:t>
      </w:r>
      <w:r>
        <w:rPr>
          <w:color w:val="000000"/>
          <w:lang w:val="en-GB"/>
        </w:rPr>
        <w:t xml:space="preserve">, and </w:t>
      </w:r>
      <w:r w:rsidRPr="00BA6C5E">
        <w:rPr>
          <w:color w:val="000000"/>
          <w:lang w:val="en-GB"/>
        </w:rPr>
        <w:t>the needs of students and teachers</w:t>
      </w:r>
      <w:r>
        <w:rPr>
          <w:color w:val="000000"/>
          <w:lang w:val="en-GB"/>
        </w:rPr>
        <w:t xml:space="preserve"> are met in an adequate way</w:t>
      </w:r>
      <w:r w:rsidRPr="00BA6C5E">
        <w:rPr>
          <w:color w:val="000000"/>
          <w:lang w:val="en-GB"/>
        </w:rPr>
        <w:t xml:space="preserve">. The technical and hygienic conditions are suitable and also meet </w:t>
      </w:r>
      <w:r>
        <w:rPr>
          <w:color w:val="000000"/>
          <w:lang w:val="en-GB"/>
        </w:rPr>
        <w:t xml:space="preserve">the </w:t>
      </w:r>
      <w:r w:rsidRPr="00BA6C5E">
        <w:rPr>
          <w:color w:val="000000"/>
          <w:lang w:val="en-GB"/>
        </w:rPr>
        <w:t xml:space="preserve">current standards. </w:t>
      </w:r>
    </w:p>
    <w:p w:rsidR="008F519B" w:rsidRPr="00BA6C5E" w:rsidRDefault="008F519B" w:rsidP="002F58B7">
      <w:pPr>
        <w:spacing w:line="240" w:lineRule="auto"/>
        <w:rPr>
          <w:color w:val="000000"/>
          <w:lang w:val="en-GB"/>
        </w:rPr>
      </w:pPr>
    </w:p>
    <w:p w:rsidR="008F519B" w:rsidRPr="00BA6C5E" w:rsidRDefault="008F519B" w:rsidP="002F58B7">
      <w:pPr>
        <w:spacing w:line="240" w:lineRule="auto"/>
        <w:rPr>
          <w:color w:val="000000"/>
          <w:lang w:val="en-GB"/>
        </w:rPr>
      </w:pPr>
      <w:r w:rsidRPr="00BA6C5E">
        <w:rPr>
          <w:color w:val="000000"/>
          <w:lang w:val="en-GB"/>
        </w:rPr>
        <w:t xml:space="preserve">As stated in </w:t>
      </w:r>
      <w:r>
        <w:rPr>
          <w:color w:val="000000"/>
          <w:lang w:val="en-GB"/>
        </w:rPr>
        <w:t xml:space="preserve">the </w:t>
      </w:r>
      <w:r w:rsidRPr="00BA6C5E">
        <w:rPr>
          <w:color w:val="000000"/>
          <w:lang w:val="en-GB"/>
        </w:rPr>
        <w:t xml:space="preserve">SA the </w:t>
      </w:r>
      <w:r w:rsidRPr="00BA6C5E">
        <w:rPr>
          <w:lang w:val="en-GB"/>
        </w:rPr>
        <w:t xml:space="preserve">premises of library were not </w:t>
      </w:r>
      <w:r>
        <w:rPr>
          <w:lang w:val="en-GB"/>
        </w:rPr>
        <w:t>built for this aim, therefore a</w:t>
      </w:r>
      <w:r w:rsidRPr="00BA6C5E">
        <w:rPr>
          <w:lang w:val="en-GB"/>
        </w:rPr>
        <w:t xml:space="preserve"> new library building is </w:t>
      </w:r>
      <w:r>
        <w:rPr>
          <w:lang w:val="en-GB"/>
        </w:rPr>
        <w:t>currently under construction.</w:t>
      </w:r>
      <w:r w:rsidRPr="00BA6C5E">
        <w:rPr>
          <w:lang w:val="en-GB"/>
        </w:rPr>
        <w:t xml:space="preserve"> The experts note that </w:t>
      </w:r>
      <w:r>
        <w:rPr>
          <w:lang w:val="en-GB"/>
        </w:rPr>
        <w:t xml:space="preserve">the </w:t>
      </w:r>
      <w:r w:rsidRPr="00BA6C5E">
        <w:rPr>
          <w:lang w:val="en-GB"/>
        </w:rPr>
        <w:t>VPU has modern library funds and facilities, including wireless internet,</w:t>
      </w:r>
      <w:r w:rsidRPr="00BA6C5E">
        <w:rPr>
          <w:color w:val="000000"/>
          <w:lang w:val="en-GB"/>
        </w:rPr>
        <w:t xml:space="preserve"> 259 working places (33 are computerised), 100000 documents and 20 subscribed databases. As noted in SA</w:t>
      </w:r>
      <w:r>
        <w:rPr>
          <w:color w:val="000000"/>
          <w:lang w:val="en-GB"/>
        </w:rPr>
        <w:t>,</w:t>
      </w:r>
      <w:r w:rsidRPr="00BA6C5E">
        <w:rPr>
          <w:color w:val="000000"/>
          <w:lang w:val="en-GB"/>
        </w:rPr>
        <w:t xml:space="preserve"> </w:t>
      </w:r>
      <w:r w:rsidRPr="00BA6C5E">
        <w:rPr>
          <w:i/>
          <w:lang w:val="en-GB"/>
        </w:rPr>
        <w:t>VPU library funds are not rich in foreign literature in the sphere of music education</w:t>
      </w:r>
      <w:r>
        <w:rPr>
          <w:i/>
          <w:lang w:val="en-GB"/>
        </w:rPr>
        <w:t>,</w:t>
      </w:r>
      <w:r w:rsidRPr="00BA6C5E">
        <w:rPr>
          <w:i/>
          <w:lang w:val="en-GB"/>
        </w:rPr>
        <w:t xml:space="preserve"> </w:t>
      </w:r>
      <w:r w:rsidRPr="00BA6C5E">
        <w:rPr>
          <w:lang w:val="en-GB"/>
        </w:rPr>
        <w:t>but</w:t>
      </w:r>
      <w:r w:rsidRPr="00BA6C5E">
        <w:rPr>
          <w:i/>
          <w:lang w:val="en-GB"/>
        </w:rPr>
        <w:t xml:space="preserve"> students of the study </w:t>
      </w:r>
      <w:r>
        <w:rPr>
          <w:i/>
          <w:lang w:val="en-GB"/>
        </w:rPr>
        <w:t>program</w:t>
      </w:r>
      <w:r w:rsidRPr="00BA6C5E">
        <w:rPr>
          <w:i/>
          <w:lang w:val="en-GB"/>
        </w:rPr>
        <w:t xml:space="preserve"> of Music may also use National Library of M. Mažvydas (which allows readers to connect to the databases from home</w:t>
      </w:r>
      <w:r w:rsidRPr="00BA6C5E">
        <w:rPr>
          <w:i/>
          <w:color w:val="000000"/>
          <w:spacing w:val="1"/>
          <w:lang w:val="en-GB"/>
        </w:rPr>
        <w:t>) as well as Libraries of Science Academy, Lithuanian Music and Theatre Academy other libraries of the city</w:t>
      </w:r>
      <w:r w:rsidRPr="00BA6C5E">
        <w:rPr>
          <w:i/>
          <w:color w:val="000000"/>
          <w:lang w:val="en-GB"/>
        </w:rPr>
        <w:t>.</w:t>
      </w:r>
      <w:r w:rsidRPr="00BA6C5E">
        <w:rPr>
          <w:color w:val="000000"/>
          <w:lang w:val="en-GB"/>
        </w:rPr>
        <w:t xml:space="preserve"> The visiting experts f</w:t>
      </w:r>
      <w:r>
        <w:rPr>
          <w:color w:val="000000"/>
          <w:lang w:val="en-GB"/>
        </w:rPr>
        <w:t xml:space="preserve">ind </w:t>
      </w:r>
      <w:r w:rsidRPr="00BA6C5E">
        <w:rPr>
          <w:color w:val="000000"/>
          <w:lang w:val="en-GB"/>
        </w:rPr>
        <w:t xml:space="preserve">this </w:t>
      </w:r>
      <w:r>
        <w:rPr>
          <w:color w:val="000000"/>
          <w:lang w:val="en-GB"/>
        </w:rPr>
        <w:t xml:space="preserve">decision </w:t>
      </w:r>
      <w:r w:rsidRPr="00BA6C5E">
        <w:rPr>
          <w:color w:val="000000"/>
          <w:lang w:val="en-GB"/>
        </w:rPr>
        <w:t xml:space="preserve">optimal </w:t>
      </w:r>
      <w:r>
        <w:rPr>
          <w:color w:val="000000"/>
          <w:lang w:val="en-GB"/>
        </w:rPr>
        <w:t>since</w:t>
      </w:r>
      <w:r w:rsidRPr="00BA6C5E">
        <w:rPr>
          <w:color w:val="000000"/>
          <w:lang w:val="en-GB"/>
        </w:rPr>
        <w:t xml:space="preserve"> they are within reasonable walking distance </w:t>
      </w:r>
      <w:r>
        <w:rPr>
          <w:color w:val="000000"/>
          <w:lang w:val="en-GB"/>
        </w:rPr>
        <w:t>from</w:t>
      </w:r>
      <w:r w:rsidRPr="00BA6C5E">
        <w:rPr>
          <w:color w:val="000000"/>
          <w:lang w:val="en-GB"/>
        </w:rPr>
        <w:t xml:space="preserve"> each other.</w:t>
      </w:r>
    </w:p>
    <w:p w:rsidR="008F519B" w:rsidRPr="00BA6C5E" w:rsidRDefault="008F519B" w:rsidP="00FB52E6">
      <w:pPr>
        <w:numPr>
          <w:ilvl w:val="8"/>
          <w:numId w:val="1"/>
        </w:numPr>
        <w:spacing w:line="240" w:lineRule="auto"/>
        <w:ind w:firstLine="360"/>
        <w:rPr>
          <w:color w:val="000000"/>
          <w:lang w:val="en-GB"/>
        </w:rPr>
      </w:pPr>
    </w:p>
    <w:p w:rsidR="008F519B" w:rsidRPr="00BA6C5E" w:rsidRDefault="008F519B" w:rsidP="002F58B7">
      <w:pPr>
        <w:spacing w:line="240" w:lineRule="auto"/>
        <w:rPr>
          <w:color w:val="000000"/>
          <w:lang w:val="en-GB"/>
        </w:rPr>
      </w:pPr>
      <w:r w:rsidRPr="00BA6C5E">
        <w:rPr>
          <w:lang w:val="en-GB"/>
        </w:rPr>
        <w:t>4.</w:t>
      </w:r>
      <w:r w:rsidRPr="00BA6C5E">
        <w:rPr>
          <w:color w:val="000000"/>
          <w:lang w:val="en-GB"/>
        </w:rPr>
        <w:t>1.2.</w:t>
      </w:r>
      <w:r w:rsidRPr="00BA6C5E">
        <w:rPr>
          <w:i/>
          <w:lang w:val="en-GB"/>
        </w:rPr>
        <w:t xml:space="preserve"> Suitability and sufficiency of equipment for studies</w:t>
      </w:r>
    </w:p>
    <w:p w:rsidR="008F519B" w:rsidRPr="00BA6C5E" w:rsidRDefault="008F519B" w:rsidP="002F58B7">
      <w:pPr>
        <w:spacing w:line="240" w:lineRule="auto"/>
        <w:rPr>
          <w:color w:val="000000"/>
          <w:lang w:val="en-GB"/>
        </w:rPr>
      </w:pPr>
      <w:r w:rsidRPr="00BA6C5E">
        <w:rPr>
          <w:lang w:val="en-GB"/>
        </w:rPr>
        <w:t xml:space="preserve">As noted in </w:t>
      </w:r>
      <w:r>
        <w:rPr>
          <w:lang w:val="en-GB"/>
        </w:rPr>
        <w:t xml:space="preserve">the </w:t>
      </w:r>
      <w:r w:rsidRPr="00BA6C5E">
        <w:rPr>
          <w:lang w:val="en-GB"/>
        </w:rPr>
        <w:t>SA</w:t>
      </w:r>
      <w:r>
        <w:rPr>
          <w:lang w:val="en-GB"/>
        </w:rPr>
        <w:t>,</w:t>
      </w:r>
      <w:r w:rsidRPr="00BA6C5E">
        <w:rPr>
          <w:lang w:val="en-GB"/>
        </w:rPr>
        <w:t xml:space="preserve"> </w:t>
      </w:r>
      <w:r w:rsidRPr="00BA6C5E">
        <w:rPr>
          <w:i/>
          <w:lang w:val="en-GB"/>
        </w:rPr>
        <w:t>the Department of Music has limited possibilities for renewal of musical instruments because only 8 035 LT has been allotted for purchasing of over the last 5 years</w:t>
      </w:r>
      <w:r w:rsidRPr="00BA6C5E">
        <w:rPr>
          <w:lang w:val="en-GB"/>
        </w:rPr>
        <w:t xml:space="preserve">. Although </w:t>
      </w:r>
      <w:r>
        <w:rPr>
          <w:lang w:val="en-GB"/>
        </w:rPr>
        <w:t xml:space="preserve">the </w:t>
      </w:r>
      <w:r w:rsidRPr="00BA6C5E">
        <w:rPr>
          <w:lang w:val="en-GB"/>
        </w:rPr>
        <w:t xml:space="preserve">amount of instruments is </w:t>
      </w:r>
      <w:r>
        <w:rPr>
          <w:lang w:val="en-GB"/>
        </w:rPr>
        <w:t xml:space="preserve">currently </w:t>
      </w:r>
      <w:r w:rsidRPr="00BA6C5E">
        <w:rPr>
          <w:lang w:val="en-GB"/>
        </w:rPr>
        <w:t xml:space="preserve">sufficient for </w:t>
      </w:r>
      <w:r>
        <w:rPr>
          <w:lang w:val="en-GB"/>
        </w:rPr>
        <w:t>the program,</w:t>
      </w:r>
      <w:r w:rsidRPr="00BA6C5E">
        <w:rPr>
          <w:lang w:val="en-GB"/>
        </w:rPr>
        <w:t xml:space="preserve"> the visiting experts </w:t>
      </w:r>
      <w:r w:rsidRPr="00BA6C5E">
        <w:rPr>
          <w:color w:val="000000"/>
          <w:lang w:val="en-GB"/>
        </w:rPr>
        <w:t xml:space="preserve">encourage the VPU to renew and improve </w:t>
      </w:r>
      <w:r>
        <w:rPr>
          <w:color w:val="000000"/>
          <w:lang w:val="en-GB"/>
        </w:rPr>
        <w:t>the stock</w:t>
      </w:r>
      <w:r w:rsidRPr="00BA6C5E">
        <w:rPr>
          <w:color w:val="000000"/>
          <w:lang w:val="en-GB"/>
        </w:rPr>
        <w:t xml:space="preserve"> of musical instruments according to</w:t>
      </w:r>
      <w:r>
        <w:rPr>
          <w:color w:val="000000"/>
          <w:lang w:val="en-GB"/>
        </w:rPr>
        <w:t xml:space="preserve"> the</w:t>
      </w:r>
      <w:r w:rsidRPr="00BA6C5E">
        <w:rPr>
          <w:color w:val="000000"/>
          <w:lang w:val="en-GB"/>
        </w:rPr>
        <w:t xml:space="preserve"> possibilities</w:t>
      </w:r>
      <w:r w:rsidRPr="00BA6C5E">
        <w:rPr>
          <w:bCs/>
          <w:color w:val="000000"/>
          <w:lang w:val="en-GB"/>
        </w:rPr>
        <w:t>. National and E</w:t>
      </w:r>
      <w:r>
        <w:rPr>
          <w:bCs/>
          <w:color w:val="000000"/>
          <w:lang w:val="en-GB"/>
        </w:rPr>
        <w:t>U</w:t>
      </w:r>
      <w:r w:rsidRPr="00BA6C5E">
        <w:rPr>
          <w:bCs/>
          <w:color w:val="000000"/>
          <w:lang w:val="en-GB"/>
        </w:rPr>
        <w:t xml:space="preserve"> funds should</w:t>
      </w:r>
      <w:r>
        <w:rPr>
          <w:bCs/>
          <w:color w:val="000000"/>
          <w:lang w:val="en-GB"/>
        </w:rPr>
        <w:t xml:space="preserve"> be exploited for this purpose. A l</w:t>
      </w:r>
      <w:r w:rsidRPr="00BA6C5E">
        <w:rPr>
          <w:bCs/>
          <w:color w:val="000000"/>
          <w:lang w:val="en-GB"/>
        </w:rPr>
        <w:t xml:space="preserve">ist of software </w:t>
      </w:r>
      <w:r>
        <w:rPr>
          <w:bCs/>
          <w:color w:val="000000"/>
          <w:lang w:val="en-GB"/>
        </w:rPr>
        <w:t>is published in the</w:t>
      </w:r>
      <w:r w:rsidRPr="00BA6C5E">
        <w:rPr>
          <w:bCs/>
          <w:color w:val="000000"/>
          <w:lang w:val="en-GB"/>
        </w:rPr>
        <w:t xml:space="preserve"> SA (</w:t>
      </w:r>
      <w:r w:rsidRPr="00BA6C5E">
        <w:rPr>
          <w:i/>
          <w:lang w:val="en-GB"/>
        </w:rPr>
        <w:t>Microsoft Office 2003 package, Internet Explorer, Mozilla, Firefox, Acrobat Reader, Macromedia Flash MX, CorelDraw, Corel Video Studio 12, Photoshop CS4, Windows Movie Maker, and Finale</w:t>
      </w:r>
      <w:r w:rsidRPr="00BA6C5E">
        <w:rPr>
          <w:lang w:val="en-GB"/>
        </w:rPr>
        <w:t xml:space="preserve">; – </w:t>
      </w:r>
      <w:r w:rsidRPr="00BA6C5E">
        <w:rPr>
          <w:bCs/>
          <w:color w:val="000000"/>
          <w:lang w:val="en-GB"/>
        </w:rPr>
        <w:t xml:space="preserve">p. 24). </w:t>
      </w:r>
      <w:r w:rsidRPr="009C02A4">
        <w:rPr>
          <w:bCs/>
          <w:color w:val="000000"/>
          <w:lang w:val="en-GB"/>
        </w:rPr>
        <w:t>This large variety of special music programs also helps enriching the teaching methods.</w:t>
      </w:r>
    </w:p>
    <w:p w:rsidR="008F519B" w:rsidRPr="00BA6C5E" w:rsidRDefault="008F519B" w:rsidP="00FB52E6">
      <w:pPr>
        <w:numPr>
          <w:ilvl w:val="8"/>
          <w:numId w:val="1"/>
        </w:numPr>
        <w:spacing w:line="240" w:lineRule="auto"/>
        <w:ind w:firstLine="360"/>
        <w:rPr>
          <w:color w:val="000000"/>
          <w:lang w:val="en-GB"/>
        </w:rPr>
      </w:pPr>
    </w:p>
    <w:p w:rsidR="008F519B" w:rsidRPr="00BA6C5E" w:rsidRDefault="008F519B" w:rsidP="00A422D1">
      <w:pPr>
        <w:spacing w:line="240" w:lineRule="auto"/>
        <w:rPr>
          <w:color w:val="000000"/>
          <w:lang w:val="en-GB"/>
        </w:rPr>
      </w:pPr>
      <w:r w:rsidRPr="00BA6C5E">
        <w:rPr>
          <w:lang w:val="en-GB"/>
        </w:rPr>
        <w:t>4.</w:t>
      </w:r>
      <w:r w:rsidRPr="00BA6C5E">
        <w:rPr>
          <w:color w:val="000000"/>
          <w:lang w:val="en-GB"/>
        </w:rPr>
        <w:t>1.3.</w:t>
      </w:r>
      <w:r w:rsidRPr="00BA6C5E">
        <w:rPr>
          <w:i/>
          <w:lang w:val="en-GB"/>
        </w:rPr>
        <w:t xml:space="preserve"> Suitability and accessibility of the resources for practical training</w:t>
      </w:r>
    </w:p>
    <w:p w:rsidR="008F519B" w:rsidRPr="00BA6C5E" w:rsidRDefault="008F519B" w:rsidP="00A422D1">
      <w:pPr>
        <w:spacing w:line="240" w:lineRule="auto"/>
      </w:pPr>
      <w:r w:rsidRPr="00BA6C5E">
        <w:t xml:space="preserve">The experts agree that </w:t>
      </w:r>
      <w:r>
        <w:t xml:space="preserve">the </w:t>
      </w:r>
      <w:r w:rsidRPr="00BA6C5E">
        <w:t xml:space="preserve">accessibility and suitability of resources for practical training </w:t>
      </w:r>
      <w:r>
        <w:t>as stated in the SA (p. 24) are</w:t>
      </w:r>
      <w:r w:rsidRPr="00BA6C5E">
        <w:t xml:space="preserve"> adequate. There is </w:t>
      </w:r>
      <w:r>
        <w:t xml:space="preserve">an </w:t>
      </w:r>
      <w:r w:rsidRPr="00BA6C5E">
        <w:t xml:space="preserve">adequate opportunity for pedagogical practical training at Simonas Daukantas Basic and Abraomas Kulvietis Secondary Schools which have modern music classes. </w:t>
      </w:r>
      <w:r>
        <w:t xml:space="preserve">The </w:t>
      </w:r>
      <w:r w:rsidRPr="00BA6C5E">
        <w:t>VPU has managed the selection and accommodation of locations for practical tasks in an e</w:t>
      </w:r>
      <w:r>
        <w:t>ffective way. C</w:t>
      </w:r>
      <w:r w:rsidRPr="00BA6C5E">
        <w:t xml:space="preserve">ooperation agreements </w:t>
      </w:r>
      <w:r>
        <w:t xml:space="preserve">have been signed </w:t>
      </w:r>
      <w:r w:rsidRPr="00BA6C5E">
        <w:t xml:space="preserve">with </w:t>
      </w:r>
      <w:r>
        <w:t xml:space="preserve">the </w:t>
      </w:r>
      <w:r w:rsidRPr="00BA6C5E">
        <w:t>s</w:t>
      </w:r>
      <w:r>
        <w:t>c</w:t>
      </w:r>
      <w:r w:rsidRPr="00BA6C5E">
        <w:t xml:space="preserve">hools where students have their teching practice. The experts concur the SA statment that </w:t>
      </w:r>
      <w:r w:rsidRPr="00BA6C5E">
        <w:rPr>
          <w:i/>
          <w:color w:val="000000"/>
          <w:lang w:val="en-GB"/>
        </w:rPr>
        <w:t>number of places appropriate for teaching practice is sufficient</w:t>
      </w:r>
      <w:r w:rsidRPr="00BA6C5E">
        <w:rPr>
          <w:color w:val="000000"/>
          <w:lang w:val="en-GB"/>
        </w:rPr>
        <w:t>.</w:t>
      </w:r>
    </w:p>
    <w:p w:rsidR="008F519B" w:rsidRPr="00BA6C5E" w:rsidRDefault="008F519B" w:rsidP="00174068">
      <w:pPr>
        <w:pStyle w:val="Heading3"/>
        <w:rPr>
          <w:color w:val="000000"/>
        </w:rPr>
      </w:pPr>
      <w:bookmarkStart w:id="29" w:name="_4.2._Learning_resources"/>
      <w:bookmarkStart w:id="30" w:name="_Toc278293009"/>
      <w:bookmarkEnd w:id="29"/>
      <w:r w:rsidRPr="00BA6C5E">
        <w:t>4.2. Learning resources</w:t>
      </w:r>
      <w:bookmarkEnd w:id="30"/>
      <w:r w:rsidRPr="00BA6C5E">
        <w:t xml:space="preserve"> </w:t>
      </w:r>
    </w:p>
    <w:p w:rsidR="008F519B" w:rsidRPr="00BA6C5E" w:rsidRDefault="008F519B" w:rsidP="00A422D1">
      <w:pPr>
        <w:spacing w:line="240" w:lineRule="auto"/>
        <w:rPr>
          <w:color w:val="000000"/>
          <w:lang w:val="en-GB"/>
        </w:rPr>
      </w:pPr>
      <w:r w:rsidRPr="00BA6C5E">
        <w:rPr>
          <w:color w:val="000000"/>
          <w:lang w:val="en-GB"/>
        </w:rPr>
        <w:t xml:space="preserve">4.2.1. </w:t>
      </w:r>
      <w:r w:rsidRPr="00BA6C5E">
        <w:rPr>
          <w:i/>
          <w:color w:val="000000"/>
          <w:lang w:val="en-GB"/>
        </w:rPr>
        <w:t>Suitability and accessibility of books, textbooks and periodical publications</w:t>
      </w:r>
    </w:p>
    <w:p w:rsidR="008F519B" w:rsidRPr="00BA6C5E" w:rsidRDefault="008F519B" w:rsidP="00A422D1">
      <w:pPr>
        <w:spacing w:line="240" w:lineRule="auto"/>
        <w:rPr>
          <w:color w:val="000000"/>
          <w:lang w:val="en-GB"/>
        </w:rPr>
      </w:pPr>
      <w:r w:rsidRPr="00BA6C5E">
        <w:rPr>
          <w:color w:val="000000"/>
          <w:lang w:val="en-GB"/>
        </w:rPr>
        <w:t xml:space="preserve">The experts note that </w:t>
      </w:r>
      <w:r>
        <w:rPr>
          <w:color w:val="000000"/>
          <w:lang w:val="en-GB"/>
        </w:rPr>
        <w:t xml:space="preserve">the </w:t>
      </w:r>
      <w:r w:rsidRPr="00BA6C5E">
        <w:rPr>
          <w:color w:val="000000"/>
          <w:lang w:val="en-GB"/>
        </w:rPr>
        <w:t xml:space="preserve">suitability and accessibility of books, textbooks and periodicals </w:t>
      </w:r>
      <w:r>
        <w:rPr>
          <w:color w:val="000000"/>
          <w:lang w:val="en-GB"/>
        </w:rPr>
        <w:t>are</w:t>
      </w:r>
      <w:r w:rsidRPr="00BA6C5E">
        <w:rPr>
          <w:color w:val="000000"/>
          <w:lang w:val="en-GB"/>
        </w:rPr>
        <w:t xml:space="preserve"> adequate for the program. Although additional resources are accessible (as mentioned above in this report) in </w:t>
      </w:r>
      <w:r>
        <w:rPr>
          <w:color w:val="000000"/>
          <w:lang w:val="en-GB"/>
        </w:rPr>
        <w:t xml:space="preserve">the </w:t>
      </w:r>
      <w:r w:rsidRPr="00BA6C5E">
        <w:rPr>
          <w:color w:val="000000"/>
          <w:lang w:val="en-GB"/>
        </w:rPr>
        <w:t>National M. Ma</w:t>
      </w:r>
      <w:r w:rsidRPr="00BA6C5E">
        <w:rPr>
          <w:color w:val="000000"/>
        </w:rPr>
        <w:t xml:space="preserve">žvydas </w:t>
      </w:r>
      <w:r>
        <w:rPr>
          <w:color w:val="000000"/>
          <w:lang w:val="en-US"/>
        </w:rPr>
        <w:t xml:space="preserve">Library and </w:t>
      </w:r>
      <w:r w:rsidRPr="00BA6C5E">
        <w:rPr>
          <w:color w:val="000000"/>
          <w:lang w:val="en-US"/>
        </w:rPr>
        <w:t xml:space="preserve">in </w:t>
      </w:r>
      <w:r>
        <w:rPr>
          <w:color w:val="000000"/>
          <w:lang w:val="en-US"/>
        </w:rPr>
        <w:t xml:space="preserve">the LMTA </w:t>
      </w:r>
      <w:r w:rsidRPr="00BA6C5E">
        <w:rPr>
          <w:color w:val="000000"/>
          <w:lang w:val="en-US"/>
        </w:rPr>
        <w:t>Library (</w:t>
      </w:r>
      <w:r>
        <w:rPr>
          <w:color w:val="000000"/>
          <w:lang w:val="en-US"/>
        </w:rPr>
        <w:t>both</w:t>
      </w:r>
      <w:r w:rsidRPr="00BA6C5E">
        <w:rPr>
          <w:color w:val="000000"/>
          <w:lang w:val="en-US"/>
        </w:rPr>
        <w:t xml:space="preserve"> close to the VPU) the experts encourage the VPU Library to enlarge </w:t>
      </w:r>
      <w:r>
        <w:rPr>
          <w:color w:val="000000"/>
          <w:lang w:val="en-US"/>
        </w:rPr>
        <w:t xml:space="preserve">its </w:t>
      </w:r>
      <w:r w:rsidRPr="00BA6C5E">
        <w:rPr>
          <w:color w:val="000000"/>
          <w:lang w:val="en-US"/>
        </w:rPr>
        <w:t>collection of specialized learning resources in foreign langua</w:t>
      </w:r>
      <w:r>
        <w:rPr>
          <w:color w:val="000000"/>
          <w:lang w:val="en-US"/>
        </w:rPr>
        <w:t xml:space="preserve">ges useful for the Music program. </w:t>
      </w:r>
      <w:r w:rsidRPr="00BA6C5E">
        <w:rPr>
          <w:color w:val="000000"/>
          <w:lang w:val="en-US"/>
        </w:rPr>
        <w:t>The experts note that establish</w:t>
      </w:r>
      <w:r>
        <w:rPr>
          <w:color w:val="000000"/>
          <w:lang w:val="en-US"/>
        </w:rPr>
        <w:t>ing</w:t>
      </w:r>
      <w:r w:rsidRPr="00BA6C5E">
        <w:rPr>
          <w:color w:val="000000"/>
          <w:lang w:val="en-US"/>
        </w:rPr>
        <w:t xml:space="preserve"> </w:t>
      </w:r>
      <w:r>
        <w:rPr>
          <w:color w:val="000000"/>
          <w:lang w:val="en-GB"/>
        </w:rPr>
        <w:t>m</w:t>
      </w:r>
      <w:r w:rsidRPr="00BA6C5E">
        <w:rPr>
          <w:color w:val="000000"/>
          <w:lang w:val="en-GB"/>
        </w:rPr>
        <w:t>ethodological s</w:t>
      </w:r>
      <w:r>
        <w:rPr>
          <w:color w:val="000000"/>
          <w:lang w:val="en-GB"/>
        </w:rPr>
        <w:t>tudy rooms (Room 513, 329) is</w:t>
      </w:r>
      <w:r w:rsidRPr="00BA6C5E">
        <w:rPr>
          <w:color w:val="000000"/>
          <w:lang w:val="en-GB"/>
        </w:rPr>
        <w:t xml:space="preserve"> </w:t>
      </w:r>
      <w:r>
        <w:rPr>
          <w:color w:val="000000"/>
          <w:lang w:val="en-GB"/>
        </w:rPr>
        <w:t xml:space="preserve">a </w:t>
      </w:r>
      <w:r w:rsidRPr="00BA6C5E">
        <w:rPr>
          <w:color w:val="000000"/>
          <w:lang w:val="en-GB"/>
        </w:rPr>
        <w:t>positive solution for collecting specialised literature and other learning resources. These rooms should be preserved and enlarged.</w:t>
      </w:r>
    </w:p>
    <w:p w:rsidR="008F519B" w:rsidRPr="00BA6C5E" w:rsidRDefault="008F519B" w:rsidP="00A422D1">
      <w:pPr>
        <w:spacing w:line="240" w:lineRule="auto"/>
        <w:rPr>
          <w:color w:val="000000"/>
          <w:lang w:val="en-GB"/>
        </w:rPr>
      </w:pPr>
      <w:r>
        <w:rPr>
          <w:color w:val="000000"/>
          <w:lang w:val="en-GB"/>
        </w:rPr>
        <w:t>A</w:t>
      </w:r>
      <w:r w:rsidRPr="00BA6C5E">
        <w:rPr>
          <w:color w:val="000000"/>
          <w:lang w:val="en-GB"/>
        </w:rPr>
        <w:t xml:space="preserve"> strength of th</w:t>
      </w:r>
      <w:r>
        <w:rPr>
          <w:color w:val="000000"/>
          <w:lang w:val="en-GB"/>
        </w:rPr>
        <w:t>is</w:t>
      </w:r>
      <w:r w:rsidRPr="00BA6C5E">
        <w:rPr>
          <w:color w:val="000000"/>
          <w:lang w:val="en-GB"/>
        </w:rPr>
        <w:t xml:space="preserve"> </w:t>
      </w:r>
      <w:r>
        <w:rPr>
          <w:color w:val="000000"/>
          <w:lang w:val="en-GB"/>
        </w:rPr>
        <w:t>program</w:t>
      </w:r>
      <w:r w:rsidRPr="00BA6C5E">
        <w:rPr>
          <w:color w:val="000000"/>
          <w:lang w:val="en-GB"/>
        </w:rPr>
        <w:t xml:space="preserve"> </w:t>
      </w:r>
      <w:r>
        <w:rPr>
          <w:color w:val="000000"/>
          <w:lang w:val="en-GB"/>
        </w:rPr>
        <w:t>is the</w:t>
      </w:r>
      <w:r w:rsidRPr="00BA6C5E">
        <w:rPr>
          <w:color w:val="000000"/>
          <w:lang w:val="en-GB"/>
        </w:rPr>
        <w:t xml:space="preserve"> publishing </w:t>
      </w:r>
      <w:r>
        <w:rPr>
          <w:color w:val="000000"/>
          <w:lang w:val="en-GB"/>
        </w:rPr>
        <w:t xml:space="preserve">of </w:t>
      </w:r>
      <w:r w:rsidRPr="00BA6C5E">
        <w:rPr>
          <w:color w:val="000000"/>
          <w:lang w:val="en-GB"/>
        </w:rPr>
        <w:t xml:space="preserve">methodological materials and books prepared and written by </w:t>
      </w:r>
      <w:r>
        <w:rPr>
          <w:color w:val="000000"/>
          <w:lang w:val="en-GB"/>
        </w:rPr>
        <w:t xml:space="preserve">the </w:t>
      </w:r>
      <w:r w:rsidRPr="00BA6C5E">
        <w:rPr>
          <w:color w:val="000000"/>
          <w:lang w:val="en-GB"/>
        </w:rPr>
        <w:t xml:space="preserve">staff. </w:t>
      </w:r>
      <w:r>
        <w:rPr>
          <w:color w:val="000000"/>
          <w:lang w:val="en-GB"/>
        </w:rPr>
        <w:t>The experts think t</w:t>
      </w:r>
      <w:r w:rsidRPr="00BA6C5E">
        <w:rPr>
          <w:color w:val="000000"/>
          <w:lang w:val="en-GB"/>
        </w:rPr>
        <w:t xml:space="preserve">his practice should be preserved and enlarged. </w:t>
      </w:r>
    </w:p>
    <w:p w:rsidR="008F519B" w:rsidRPr="00BA6C5E" w:rsidRDefault="008F519B" w:rsidP="00A422D1">
      <w:pPr>
        <w:spacing w:line="240" w:lineRule="auto"/>
        <w:rPr>
          <w:color w:val="000000"/>
          <w:lang w:val="en-GB"/>
        </w:rPr>
      </w:pPr>
      <w:r w:rsidRPr="00BA6C5E">
        <w:rPr>
          <w:bCs/>
          <w:color w:val="000000"/>
          <w:lang w:val="en-GB"/>
        </w:rPr>
        <w:t xml:space="preserve">The experts </w:t>
      </w:r>
      <w:r>
        <w:rPr>
          <w:bCs/>
          <w:color w:val="000000"/>
          <w:lang w:val="en-GB"/>
        </w:rPr>
        <w:t xml:space="preserve">also </w:t>
      </w:r>
      <w:r w:rsidRPr="00BA6C5E">
        <w:rPr>
          <w:bCs/>
          <w:color w:val="000000"/>
          <w:lang w:val="en-GB"/>
        </w:rPr>
        <w:t xml:space="preserve">found </w:t>
      </w:r>
      <w:r>
        <w:rPr>
          <w:bCs/>
          <w:color w:val="000000"/>
          <w:lang w:val="en-GB"/>
        </w:rPr>
        <w:t xml:space="preserve"> a </w:t>
      </w:r>
      <w:r w:rsidRPr="00BA6C5E">
        <w:rPr>
          <w:bCs/>
          <w:color w:val="000000"/>
          <w:lang w:val="en-GB"/>
        </w:rPr>
        <w:t>sufficient accessibility of libr</w:t>
      </w:r>
      <w:r>
        <w:rPr>
          <w:bCs/>
          <w:color w:val="000000"/>
          <w:lang w:val="en-GB"/>
        </w:rPr>
        <w:t xml:space="preserve">ary resources </w:t>
      </w:r>
      <w:r w:rsidRPr="00BA6C5E">
        <w:rPr>
          <w:bCs/>
          <w:color w:val="000000"/>
          <w:lang w:val="en-GB"/>
        </w:rPr>
        <w:t>via internet from any computerised work</w:t>
      </w:r>
      <w:r>
        <w:rPr>
          <w:bCs/>
          <w:color w:val="000000"/>
          <w:lang w:val="en-GB"/>
        </w:rPr>
        <w:t xml:space="preserve">ing </w:t>
      </w:r>
      <w:r w:rsidRPr="00BA6C5E">
        <w:rPr>
          <w:bCs/>
          <w:color w:val="000000"/>
          <w:lang w:val="en-GB"/>
        </w:rPr>
        <w:t>place including students’ hostel, home, and library rooms.</w:t>
      </w:r>
    </w:p>
    <w:p w:rsidR="008F519B" w:rsidRPr="00BA6C5E" w:rsidRDefault="008F519B" w:rsidP="00FB52E6">
      <w:pPr>
        <w:numPr>
          <w:ilvl w:val="8"/>
          <w:numId w:val="1"/>
        </w:numPr>
        <w:spacing w:line="240" w:lineRule="auto"/>
        <w:ind w:firstLine="360"/>
        <w:rPr>
          <w:color w:val="000000"/>
          <w:lang w:val="en-GB"/>
        </w:rPr>
      </w:pPr>
    </w:p>
    <w:p w:rsidR="008F519B" w:rsidRPr="00BA6C5E" w:rsidRDefault="008F519B" w:rsidP="009A3C2B">
      <w:pPr>
        <w:spacing w:line="240" w:lineRule="auto"/>
        <w:rPr>
          <w:color w:val="000000"/>
          <w:lang w:val="en-GB"/>
        </w:rPr>
      </w:pPr>
      <w:r w:rsidRPr="00BA6C5E">
        <w:rPr>
          <w:color w:val="000000"/>
          <w:lang w:val="en-GB"/>
        </w:rPr>
        <w:t>4.2.2.</w:t>
      </w:r>
      <w:r w:rsidRPr="00BA6C5E">
        <w:rPr>
          <w:i/>
          <w:color w:val="000000"/>
          <w:lang w:val="en-GB"/>
        </w:rPr>
        <w:t xml:space="preserve"> Suitability and accessibility of learning materials</w:t>
      </w:r>
    </w:p>
    <w:p w:rsidR="008F519B" w:rsidRPr="00BA6C5E" w:rsidRDefault="008F519B" w:rsidP="009A3C2B">
      <w:pPr>
        <w:spacing w:line="240" w:lineRule="auto"/>
        <w:ind w:right="22"/>
        <w:rPr>
          <w:color w:val="000000"/>
          <w:lang w:val="en-GB"/>
        </w:rPr>
      </w:pPr>
      <w:bookmarkStart w:id="31" w:name="_5._Study_process_and_assessment"/>
      <w:bookmarkEnd w:id="31"/>
      <w:r w:rsidRPr="00BA6C5E">
        <w:rPr>
          <w:color w:val="000000"/>
          <w:lang w:val="en-GB"/>
        </w:rPr>
        <w:t>According to the SA,</w:t>
      </w:r>
      <w:r w:rsidRPr="00BA6C5E">
        <w:rPr>
          <w:i/>
          <w:color w:val="000000"/>
          <w:lang w:val="en-GB"/>
        </w:rPr>
        <w:t xml:space="preserve"> the target databases containing material on musical issues available in VPU library are: </w:t>
      </w:r>
      <w:r w:rsidRPr="00BA6C5E">
        <w:rPr>
          <w:i/>
          <w:iCs/>
          <w:color w:val="000000"/>
          <w:lang w:val="en-GB"/>
        </w:rPr>
        <w:t>Academic Search Complete</w:t>
      </w:r>
      <w:r w:rsidRPr="00BA6C5E">
        <w:rPr>
          <w:i/>
          <w:color w:val="000000"/>
          <w:lang w:val="en-GB"/>
        </w:rPr>
        <w:t xml:space="preserve"> </w:t>
      </w:r>
      <w:r w:rsidRPr="00BA6C5E">
        <w:rPr>
          <w:i/>
          <w:iCs/>
          <w:color w:val="000000"/>
          <w:lang w:val="en-GB"/>
        </w:rPr>
        <w:t>Education Research Complete</w:t>
      </w:r>
      <w:r w:rsidRPr="00BA6C5E">
        <w:rPr>
          <w:i/>
          <w:color w:val="000000"/>
          <w:lang w:val="en-GB"/>
        </w:rPr>
        <w:t xml:space="preserve">, </w:t>
      </w:r>
      <w:r w:rsidRPr="00BA6C5E">
        <w:rPr>
          <w:i/>
          <w:iCs/>
          <w:color w:val="000000"/>
          <w:lang w:val="en-GB"/>
        </w:rPr>
        <w:t>Humanities International Complete, SocINDEX with Full Text</w:t>
      </w:r>
      <w:r w:rsidRPr="00BA6C5E">
        <w:rPr>
          <w:i/>
          <w:color w:val="000000"/>
          <w:lang w:val="en-GB"/>
        </w:rPr>
        <w:t xml:space="preserve">, </w:t>
      </w:r>
      <w:r w:rsidRPr="00BA6C5E">
        <w:rPr>
          <w:i/>
          <w:iCs/>
          <w:color w:val="000000"/>
          <w:lang w:val="en-GB"/>
        </w:rPr>
        <w:t>Oxford Music Online, Oxford Reference Online: The Premium Collection, SAGE Journals Online</w:t>
      </w:r>
      <w:r w:rsidRPr="00BA6C5E">
        <w:rPr>
          <w:i/>
          <w:color w:val="000000"/>
          <w:lang w:val="en-GB"/>
        </w:rPr>
        <w:t xml:space="preserve"> (access through EBSCO Publishing).</w:t>
      </w:r>
      <w:r w:rsidRPr="00BA6C5E">
        <w:rPr>
          <w:color w:val="000000"/>
          <w:lang w:val="en-GB"/>
        </w:rPr>
        <w:t xml:space="preserve"> The experts </w:t>
      </w:r>
      <w:r>
        <w:rPr>
          <w:color w:val="000000"/>
          <w:lang w:val="en-GB"/>
        </w:rPr>
        <w:t>acknowledge</w:t>
      </w:r>
      <w:r w:rsidRPr="00BA6C5E">
        <w:rPr>
          <w:color w:val="000000"/>
          <w:lang w:val="en-GB"/>
        </w:rPr>
        <w:t xml:space="preserve"> </w:t>
      </w:r>
      <w:r>
        <w:rPr>
          <w:color w:val="000000"/>
          <w:lang w:val="en-GB"/>
        </w:rPr>
        <w:t>that t</w:t>
      </w:r>
      <w:r w:rsidRPr="00BA6C5E">
        <w:rPr>
          <w:color w:val="000000"/>
          <w:lang w:val="en-GB"/>
        </w:rPr>
        <w:t>he number of books, textbooks and other printed publications in</w:t>
      </w:r>
      <w:r>
        <w:rPr>
          <w:color w:val="000000"/>
          <w:lang w:val="en-GB"/>
        </w:rPr>
        <w:t xml:space="preserve"> the</w:t>
      </w:r>
      <w:r w:rsidRPr="00BA6C5E">
        <w:rPr>
          <w:color w:val="000000"/>
          <w:lang w:val="en-GB"/>
        </w:rPr>
        <w:t xml:space="preserve"> library and </w:t>
      </w:r>
      <w:r>
        <w:rPr>
          <w:color w:val="000000"/>
          <w:lang w:val="en-GB"/>
        </w:rPr>
        <w:t xml:space="preserve">the </w:t>
      </w:r>
      <w:r w:rsidRPr="00BA6C5E">
        <w:rPr>
          <w:color w:val="000000"/>
          <w:lang w:val="en-GB"/>
        </w:rPr>
        <w:t xml:space="preserve">specialised reading rooms </w:t>
      </w:r>
      <w:r>
        <w:rPr>
          <w:color w:val="000000"/>
          <w:lang w:val="en-GB"/>
        </w:rPr>
        <w:t>is sufficient for the</w:t>
      </w:r>
      <w:r w:rsidRPr="00BA6C5E">
        <w:rPr>
          <w:color w:val="000000"/>
          <w:lang w:val="en-GB"/>
        </w:rPr>
        <w:t xml:space="preserve"> </w:t>
      </w:r>
      <w:r>
        <w:rPr>
          <w:color w:val="000000"/>
          <w:lang w:val="en-GB"/>
        </w:rPr>
        <w:t>program’s need.</w:t>
      </w:r>
      <w:r w:rsidRPr="00BA6C5E">
        <w:rPr>
          <w:color w:val="000000"/>
          <w:lang w:val="en-GB"/>
        </w:rPr>
        <w:t xml:space="preserve"> The accessibility of learning materials is good (SA: </w:t>
      </w:r>
      <w:r w:rsidRPr="00BA6C5E">
        <w:rPr>
          <w:i/>
          <w:color w:val="000000"/>
          <w:lang w:val="en-GB"/>
        </w:rPr>
        <w:t>Students may use library and reading rooms facilities, wireless Internet, the methodological literature accumulated in the Methodological study room of music</w:t>
      </w:r>
      <w:r>
        <w:rPr>
          <w:color w:val="000000"/>
          <w:lang w:val="en-GB"/>
        </w:rPr>
        <w:t>). The l</w:t>
      </w:r>
      <w:r w:rsidRPr="00BA6C5E">
        <w:rPr>
          <w:color w:val="000000"/>
          <w:lang w:val="en-GB"/>
        </w:rPr>
        <w:t xml:space="preserve">ibrary appears well stocked to meet </w:t>
      </w:r>
      <w:r>
        <w:rPr>
          <w:color w:val="000000"/>
          <w:lang w:val="en-GB"/>
        </w:rPr>
        <w:t xml:space="preserve">the </w:t>
      </w:r>
      <w:r w:rsidRPr="00BA6C5E">
        <w:rPr>
          <w:color w:val="000000"/>
          <w:lang w:val="en-GB"/>
        </w:rPr>
        <w:t>student</w:t>
      </w:r>
      <w:r>
        <w:rPr>
          <w:color w:val="000000"/>
          <w:lang w:val="en-GB"/>
        </w:rPr>
        <w:t>s’</w:t>
      </w:r>
      <w:r w:rsidRPr="00BA6C5E">
        <w:rPr>
          <w:color w:val="000000"/>
          <w:lang w:val="en-GB"/>
        </w:rPr>
        <w:t xml:space="preserve"> needs and </w:t>
      </w:r>
      <w:r>
        <w:rPr>
          <w:color w:val="000000"/>
          <w:lang w:val="en-GB"/>
        </w:rPr>
        <w:t>has operating hours which look</w:t>
      </w:r>
      <w:r w:rsidRPr="00BA6C5E">
        <w:rPr>
          <w:color w:val="000000"/>
          <w:lang w:val="en-GB"/>
        </w:rPr>
        <w:t xml:space="preserve"> </w:t>
      </w:r>
      <w:r>
        <w:rPr>
          <w:color w:val="000000"/>
          <w:lang w:val="en-GB"/>
        </w:rPr>
        <w:t>in phase with the</w:t>
      </w:r>
      <w:r w:rsidRPr="00BA6C5E">
        <w:rPr>
          <w:color w:val="000000"/>
          <w:lang w:val="en-GB"/>
        </w:rPr>
        <w:t xml:space="preserve"> student traffic.</w:t>
      </w:r>
    </w:p>
    <w:p w:rsidR="008F519B" w:rsidRDefault="008F519B" w:rsidP="00174068">
      <w:pPr>
        <w:pStyle w:val="Heading2"/>
      </w:pPr>
    </w:p>
    <w:p w:rsidR="008F519B" w:rsidRPr="00BA6C5E" w:rsidRDefault="008F519B" w:rsidP="008459A5">
      <w:pPr>
        <w:pStyle w:val="Heading2"/>
        <w:spacing w:line="240" w:lineRule="auto"/>
      </w:pPr>
      <w:bookmarkStart w:id="32" w:name="_Toc278293010"/>
      <w:r w:rsidRPr="00BA6C5E">
        <w:t>5. Study process and student assessment</w:t>
      </w:r>
      <w:bookmarkEnd w:id="32"/>
    </w:p>
    <w:p w:rsidR="008F519B" w:rsidRPr="00BA6C5E" w:rsidRDefault="008F519B" w:rsidP="008459A5">
      <w:pPr>
        <w:pStyle w:val="Heading3"/>
        <w:spacing w:line="240" w:lineRule="auto"/>
      </w:pPr>
      <w:bookmarkStart w:id="33" w:name="_5.1._Student_admission"/>
      <w:bookmarkStart w:id="34" w:name="_Toc278293011"/>
      <w:bookmarkEnd w:id="33"/>
      <w:r w:rsidRPr="00BA6C5E">
        <w:t>5.1. Student admission</w:t>
      </w:r>
      <w:bookmarkEnd w:id="34"/>
      <w:r w:rsidRPr="00BA6C5E">
        <w:t xml:space="preserve"> </w:t>
      </w:r>
    </w:p>
    <w:p w:rsidR="008F519B" w:rsidRPr="00AE7258" w:rsidRDefault="008F519B" w:rsidP="009A3C2B">
      <w:pPr>
        <w:spacing w:line="240" w:lineRule="auto"/>
        <w:rPr>
          <w:color w:val="000000"/>
          <w:lang w:val="en-GB"/>
        </w:rPr>
      </w:pPr>
      <w:r w:rsidRPr="00AE7258">
        <w:rPr>
          <w:color w:val="000000"/>
          <w:lang w:val="en-GB"/>
        </w:rPr>
        <w:t>5.1.1.</w:t>
      </w:r>
      <w:r w:rsidRPr="00AE7258">
        <w:rPr>
          <w:i/>
          <w:lang w:val="en-GB"/>
        </w:rPr>
        <w:t xml:space="preserve"> Rationality of requirements for admission to the studies</w:t>
      </w:r>
    </w:p>
    <w:p w:rsidR="008F519B" w:rsidRPr="00BA6C5E" w:rsidRDefault="008F519B" w:rsidP="009A3C2B">
      <w:pPr>
        <w:spacing w:line="240" w:lineRule="auto"/>
        <w:rPr>
          <w:color w:val="000000"/>
          <w:lang w:val="en-GB"/>
        </w:rPr>
      </w:pPr>
      <w:r w:rsidRPr="00AE7258">
        <w:rPr>
          <w:lang w:val="en-GB"/>
        </w:rPr>
        <w:t xml:space="preserve">The visit of the experts happens at a very specific moment since the assessed programs are under the process of heavy modifications to fit to the new law passed in 2010. Furthermore, new admission rules have been edited in May 2009 and already been applicable for the academic year 2009-10, with as a result some confusion and significant changes in the students’ profiles and students number in the various programs. The commission expresses concern about the weight of the general education scores compared to the artistic and pedagogical skills of potential students in the new system, who can indeed be discarded for irrelevant reasons. This may create discrepancies and </w:t>
      </w:r>
      <w:r w:rsidRPr="00AE7258">
        <w:t>negative</w:t>
      </w:r>
      <w:r w:rsidRPr="00AE7258">
        <w:rPr>
          <w:lang w:val="en-GB"/>
        </w:rPr>
        <w:t xml:space="preserve"> tensions under the various fields of the institution, not to speak about the general quality level. Although the Commission is sure that the new regulations were applied on a fair and transparent basis, it encourages the partners to find specific regulations for the field of music in order not to bypass talented students. After talking to representative of the post-secondary and precollege level, it also encourages to tighten the links between the conservatoires and the higher level music institutions.</w:t>
      </w:r>
    </w:p>
    <w:p w:rsidR="008F519B" w:rsidRPr="00BA6C5E" w:rsidRDefault="008F519B" w:rsidP="00FB52E6">
      <w:pPr>
        <w:spacing w:line="240" w:lineRule="auto"/>
        <w:ind w:firstLine="360"/>
        <w:rPr>
          <w:color w:val="000000"/>
          <w:lang w:val="en-GB"/>
        </w:rPr>
      </w:pPr>
    </w:p>
    <w:p w:rsidR="008F519B" w:rsidRPr="00BA6C5E" w:rsidRDefault="008F519B" w:rsidP="009A3C2B">
      <w:pPr>
        <w:spacing w:line="240" w:lineRule="auto"/>
        <w:rPr>
          <w:color w:val="000000"/>
          <w:lang w:val="en-GB"/>
        </w:rPr>
      </w:pPr>
      <w:r w:rsidRPr="00BA6C5E">
        <w:rPr>
          <w:color w:val="000000"/>
          <w:lang w:val="en-GB"/>
        </w:rPr>
        <w:t>5.1.2.</w:t>
      </w:r>
      <w:r w:rsidRPr="00BA6C5E">
        <w:rPr>
          <w:bCs/>
          <w:i/>
          <w:iCs/>
          <w:color w:val="000000"/>
          <w:lang w:val="en-GB"/>
        </w:rPr>
        <w:t xml:space="preserve"> Efficiency of enhancing the motivation of applicants and new students</w:t>
      </w:r>
    </w:p>
    <w:p w:rsidR="008F519B" w:rsidRPr="00BA6C5E" w:rsidRDefault="008F519B" w:rsidP="009A3C2B">
      <w:pPr>
        <w:spacing w:line="240" w:lineRule="auto"/>
        <w:rPr>
          <w:color w:val="000000"/>
          <w:lang w:val="en-GB"/>
        </w:rPr>
      </w:pPr>
      <w:r w:rsidRPr="00BA6C5E">
        <w:rPr>
          <w:color w:val="000000"/>
          <w:lang w:val="en-GB"/>
        </w:rPr>
        <w:t>The motivation for applicants and new students is clear</w:t>
      </w:r>
      <w:r>
        <w:rPr>
          <w:color w:val="000000"/>
          <w:lang w:val="en-GB"/>
        </w:rPr>
        <w:t>ly</w:t>
      </w:r>
      <w:r w:rsidRPr="00BA6C5E">
        <w:rPr>
          <w:color w:val="000000"/>
          <w:lang w:val="en-GB"/>
        </w:rPr>
        <w:t xml:space="preserve"> described in </w:t>
      </w:r>
      <w:r>
        <w:rPr>
          <w:color w:val="000000"/>
          <w:lang w:val="en-GB"/>
        </w:rPr>
        <w:t xml:space="preserve">the </w:t>
      </w:r>
      <w:r w:rsidRPr="00BA6C5E">
        <w:rPr>
          <w:color w:val="000000"/>
          <w:lang w:val="en-GB"/>
        </w:rPr>
        <w:t>SA</w:t>
      </w:r>
      <w:r>
        <w:rPr>
          <w:color w:val="000000"/>
          <w:lang w:val="en-GB"/>
        </w:rPr>
        <w:t>,</w:t>
      </w:r>
      <w:r w:rsidRPr="00BA6C5E">
        <w:rPr>
          <w:color w:val="000000"/>
          <w:lang w:val="en-GB"/>
        </w:rPr>
        <w:t xml:space="preserve"> and </w:t>
      </w:r>
      <w:r>
        <w:rPr>
          <w:color w:val="000000"/>
          <w:lang w:val="en-GB"/>
        </w:rPr>
        <w:t xml:space="preserve">the </w:t>
      </w:r>
      <w:r w:rsidRPr="00BA6C5E">
        <w:rPr>
          <w:color w:val="000000"/>
          <w:lang w:val="en-GB"/>
        </w:rPr>
        <w:t>visiting experts could feel the result of this activity during the site visit. There are meetings with general education teachers and learners</w:t>
      </w:r>
      <w:r>
        <w:rPr>
          <w:color w:val="000000"/>
          <w:lang w:val="en-GB"/>
        </w:rPr>
        <w:t xml:space="preserve">, </w:t>
      </w:r>
      <w:r w:rsidRPr="00BA6C5E">
        <w:rPr>
          <w:color w:val="000000"/>
          <w:lang w:val="en-GB"/>
        </w:rPr>
        <w:t xml:space="preserve"> concerts of students</w:t>
      </w:r>
      <w:r>
        <w:rPr>
          <w:color w:val="000000"/>
          <w:lang w:val="en-GB"/>
        </w:rPr>
        <w:t xml:space="preserve"> and </w:t>
      </w:r>
      <w:r w:rsidRPr="00BA6C5E">
        <w:rPr>
          <w:color w:val="000000"/>
          <w:lang w:val="en-GB"/>
        </w:rPr>
        <w:t>future music teachers</w:t>
      </w:r>
      <w:r>
        <w:rPr>
          <w:color w:val="000000"/>
          <w:lang w:val="en-GB"/>
        </w:rPr>
        <w:t>,</w:t>
      </w:r>
      <w:r w:rsidRPr="00BA6C5E">
        <w:rPr>
          <w:color w:val="000000"/>
          <w:lang w:val="en-GB"/>
        </w:rPr>
        <w:t xml:space="preserve"> music projects and stage operas </w:t>
      </w:r>
      <w:r>
        <w:rPr>
          <w:color w:val="000000"/>
          <w:lang w:val="en-GB"/>
        </w:rPr>
        <w:t xml:space="preserve">implemented </w:t>
      </w:r>
      <w:r w:rsidRPr="00BA6C5E">
        <w:rPr>
          <w:color w:val="000000"/>
          <w:lang w:val="en-GB"/>
        </w:rPr>
        <w:t xml:space="preserve">at school, participation </w:t>
      </w:r>
      <w:r>
        <w:rPr>
          <w:color w:val="000000"/>
          <w:lang w:val="en-GB"/>
        </w:rPr>
        <w:t>to</w:t>
      </w:r>
      <w:r w:rsidRPr="00BA6C5E">
        <w:rPr>
          <w:color w:val="000000"/>
          <w:lang w:val="en-GB"/>
        </w:rPr>
        <w:t xml:space="preserve"> </w:t>
      </w:r>
      <w:r>
        <w:rPr>
          <w:color w:val="000000"/>
          <w:lang w:val="en-GB"/>
        </w:rPr>
        <w:t>open d</w:t>
      </w:r>
      <w:r w:rsidRPr="00BA6C5E">
        <w:rPr>
          <w:color w:val="000000"/>
          <w:lang w:val="en-GB"/>
        </w:rPr>
        <w:t xml:space="preserve">ays and publication of articles </w:t>
      </w:r>
      <w:r>
        <w:rPr>
          <w:color w:val="000000"/>
          <w:lang w:val="en-GB"/>
        </w:rPr>
        <w:t>on the VPU</w:t>
      </w:r>
      <w:r w:rsidRPr="00BA6C5E">
        <w:rPr>
          <w:color w:val="000000"/>
          <w:lang w:val="en-GB"/>
        </w:rPr>
        <w:t xml:space="preserve"> webpage (SA, p. 27). </w:t>
      </w:r>
      <w:r>
        <w:rPr>
          <w:color w:val="000000"/>
          <w:lang w:val="en-GB"/>
        </w:rPr>
        <w:t>The n</w:t>
      </w:r>
      <w:r w:rsidRPr="00BA6C5E">
        <w:rPr>
          <w:color w:val="000000"/>
          <w:lang w:val="en-GB"/>
        </w:rPr>
        <w:t xml:space="preserve">ew students </w:t>
      </w:r>
      <w:r>
        <w:rPr>
          <w:color w:val="000000"/>
          <w:lang w:val="en-GB"/>
        </w:rPr>
        <w:t>get explanations on the</w:t>
      </w:r>
      <w:r w:rsidRPr="00BA6C5E">
        <w:rPr>
          <w:color w:val="000000"/>
          <w:lang w:val="en-GB"/>
        </w:rPr>
        <w:t xml:space="preserve"> new specialisations </w:t>
      </w:r>
      <w:r>
        <w:rPr>
          <w:color w:val="000000"/>
          <w:lang w:val="en-GB"/>
        </w:rPr>
        <w:t>and</w:t>
      </w:r>
      <w:r w:rsidRPr="00BA6C5E">
        <w:rPr>
          <w:color w:val="000000"/>
          <w:lang w:val="en-GB"/>
        </w:rPr>
        <w:t xml:space="preserve"> possible job positions.</w:t>
      </w:r>
    </w:p>
    <w:p w:rsidR="008F519B" w:rsidRPr="00BA6C5E" w:rsidRDefault="008F519B" w:rsidP="00174068">
      <w:pPr>
        <w:pStyle w:val="Heading3"/>
      </w:pPr>
      <w:bookmarkStart w:id="35" w:name="_5.2._Study_process"/>
      <w:bookmarkStart w:id="36" w:name="_Toc278293012"/>
      <w:bookmarkEnd w:id="35"/>
      <w:r w:rsidRPr="00BA6C5E">
        <w:t>5.2. Study process</w:t>
      </w:r>
      <w:bookmarkEnd w:id="36"/>
      <w:r w:rsidRPr="00BA6C5E">
        <w:t xml:space="preserve"> </w:t>
      </w:r>
    </w:p>
    <w:p w:rsidR="008F519B" w:rsidRPr="00BA6C5E" w:rsidRDefault="008F519B" w:rsidP="00FB52E6">
      <w:pPr>
        <w:spacing w:line="240" w:lineRule="auto"/>
        <w:rPr>
          <w:i/>
          <w:lang w:val="en-GB"/>
        </w:rPr>
      </w:pPr>
      <w:r w:rsidRPr="00BA6C5E">
        <w:rPr>
          <w:lang w:val="en-GB"/>
        </w:rPr>
        <w:t>5.2.1.</w:t>
      </w:r>
      <w:r w:rsidRPr="00BA6C5E">
        <w:rPr>
          <w:i/>
          <w:lang w:val="en-GB"/>
        </w:rPr>
        <w:t xml:space="preserve"> Rationality of the program schedule</w:t>
      </w:r>
    </w:p>
    <w:p w:rsidR="008F519B" w:rsidRPr="00BA6C5E" w:rsidRDefault="008F519B" w:rsidP="00CA41A9">
      <w:pPr>
        <w:spacing w:line="240" w:lineRule="auto"/>
        <w:rPr>
          <w:color w:val="000000"/>
          <w:lang w:val="en-GB"/>
        </w:rPr>
      </w:pPr>
      <w:r>
        <w:rPr>
          <w:color w:val="000000"/>
          <w:lang w:val="en-GB"/>
        </w:rPr>
        <w:t>The o</w:t>
      </w:r>
      <w:r w:rsidRPr="00BA6C5E">
        <w:rPr>
          <w:color w:val="000000"/>
          <w:lang w:val="en-GB"/>
        </w:rPr>
        <w:t xml:space="preserve">rganisation of study process and </w:t>
      </w:r>
      <w:r>
        <w:rPr>
          <w:color w:val="000000"/>
          <w:lang w:val="en-GB"/>
        </w:rPr>
        <w:t xml:space="preserve">the </w:t>
      </w:r>
      <w:r w:rsidRPr="00BA6C5E">
        <w:rPr>
          <w:color w:val="000000"/>
          <w:lang w:val="en-GB"/>
        </w:rPr>
        <w:t xml:space="preserve">schedule of lessons are rational. According the SA </w:t>
      </w:r>
      <w:r w:rsidRPr="00BA6C5E">
        <w:rPr>
          <w:i/>
          <w:color w:val="000000"/>
          <w:lang w:val="en-GB"/>
        </w:rPr>
        <w:t xml:space="preserve">the load of contact work per week meets the general requirements to allot not less than 45 % of the study load. The contact work in the study </w:t>
      </w:r>
      <w:r>
        <w:rPr>
          <w:i/>
          <w:color w:val="000000"/>
          <w:lang w:val="en-GB"/>
        </w:rPr>
        <w:t>program</w:t>
      </w:r>
      <w:r w:rsidRPr="00BA6C5E">
        <w:rPr>
          <w:i/>
          <w:color w:val="000000"/>
          <w:lang w:val="en-GB"/>
        </w:rPr>
        <w:t xml:space="preserve"> is about 340 hours. The semester consists of 16 weeks and a 4 week session. Thus, the contact work equals not less than 20 hours per week</w:t>
      </w:r>
      <w:r w:rsidRPr="00BA6C5E">
        <w:rPr>
          <w:color w:val="000000"/>
          <w:lang w:val="en-GB"/>
        </w:rPr>
        <w:t xml:space="preserve"> (SA, p. 28). Although </w:t>
      </w:r>
      <w:r>
        <w:rPr>
          <w:color w:val="000000"/>
          <w:lang w:val="en-GB"/>
        </w:rPr>
        <w:t xml:space="preserve">the </w:t>
      </w:r>
      <w:r w:rsidRPr="00BA6C5E">
        <w:rPr>
          <w:color w:val="000000"/>
          <w:lang w:val="en-GB"/>
        </w:rPr>
        <w:t xml:space="preserve">experts understand </w:t>
      </w:r>
      <w:r>
        <w:rPr>
          <w:color w:val="000000"/>
          <w:lang w:val="en-GB"/>
        </w:rPr>
        <w:t xml:space="preserve">that </w:t>
      </w:r>
      <w:r w:rsidRPr="00BA6C5E">
        <w:rPr>
          <w:color w:val="000000"/>
          <w:lang w:val="en-GB"/>
        </w:rPr>
        <w:t xml:space="preserve">some difficulties </w:t>
      </w:r>
      <w:r>
        <w:rPr>
          <w:color w:val="000000"/>
          <w:lang w:val="en-GB"/>
        </w:rPr>
        <w:t xml:space="preserve">may </w:t>
      </w:r>
      <w:r w:rsidRPr="00BA6C5E">
        <w:rPr>
          <w:color w:val="000000"/>
          <w:lang w:val="en-GB"/>
        </w:rPr>
        <w:t>aris</w:t>
      </w:r>
      <w:r>
        <w:rPr>
          <w:color w:val="000000"/>
          <w:lang w:val="en-GB"/>
        </w:rPr>
        <w:t>e from the</w:t>
      </w:r>
      <w:r w:rsidRPr="00BA6C5E">
        <w:rPr>
          <w:color w:val="000000"/>
          <w:lang w:val="en-GB"/>
        </w:rPr>
        <w:t xml:space="preserve"> different duration of </w:t>
      </w:r>
      <w:r>
        <w:rPr>
          <w:color w:val="000000"/>
          <w:lang w:val="en-GB"/>
        </w:rPr>
        <w:t xml:space="preserve">the </w:t>
      </w:r>
      <w:r w:rsidRPr="00BA6C5E">
        <w:rPr>
          <w:color w:val="000000"/>
          <w:lang w:val="en-GB"/>
        </w:rPr>
        <w:t xml:space="preserve">lessons – the </w:t>
      </w:r>
      <w:r>
        <w:rPr>
          <w:color w:val="000000"/>
          <w:lang w:val="en-GB"/>
        </w:rPr>
        <w:t xml:space="preserve">group </w:t>
      </w:r>
      <w:r w:rsidRPr="00BA6C5E">
        <w:rPr>
          <w:color w:val="000000"/>
          <w:lang w:val="en-GB"/>
        </w:rPr>
        <w:t xml:space="preserve">lectures last 1,5 hour (2 x 45 min </w:t>
      </w:r>
      <w:r>
        <w:rPr>
          <w:color w:val="000000"/>
          <w:lang w:val="en-GB"/>
        </w:rPr>
        <w:t>=</w:t>
      </w:r>
      <w:r w:rsidRPr="00BA6C5E">
        <w:rPr>
          <w:color w:val="000000"/>
          <w:lang w:val="en-GB"/>
        </w:rPr>
        <w:t xml:space="preserve"> one lecture) whe</w:t>
      </w:r>
      <w:r>
        <w:rPr>
          <w:color w:val="000000"/>
          <w:lang w:val="en-GB"/>
        </w:rPr>
        <w:t>reas the</w:t>
      </w:r>
      <w:r w:rsidRPr="00BA6C5E">
        <w:rPr>
          <w:color w:val="000000"/>
          <w:lang w:val="en-GB"/>
        </w:rPr>
        <w:t xml:space="preserve"> individual music lectures </w:t>
      </w:r>
      <w:r>
        <w:rPr>
          <w:color w:val="000000"/>
          <w:lang w:val="en-GB"/>
        </w:rPr>
        <w:t>have</w:t>
      </w:r>
      <w:r w:rsidRPr="00BA6C5E">
        <w:rPr>
          <w:color w:val="000000"/>
          <w:lang w:val="en-GB"/>
        </w:rPr>
        <w:t xml:space="preserve"> only 45 min (1 x 45 </w:t>
      </w:r>
      <w:r>
        <w:rPr>
          <w:color w:val="000000"/>
          <w:lang w:val="en-GB"/>
        </w:rPr>
        <w:t>=</w:t>
      </w:r>
      <w:r w:rsidRPr="00BA6C5E">
        <w:rPr>
          <w:color w:val="000000"/>
          <w:lang w:val="en-GB"/>
        </w:rPr>
        <w:t xml:space="preserve"> one lecture). </w:t>
      </w:r>
      <w:r>
        <w:rPr>
          <w:color w:val="000000"/>
          <w:lang w:val="en-GB"/>
        </w:rPr>
        <w:t>Nevertheless, the</w:t>
      </w:r>
      <w:r w:rsidRPr="00BA6C5E">
        <w:rPr>
          <w:color w:val="000000"/>
          <w:lang w:val="en-GB"/>
        </w:rPr>
        <w:t xml:space="preserve"> schedule is organized according </w:t>
      </w:r>
      <w:r>
        <w:rPr>
          <w:color w:val="000000"/>
          <w:lang w:val="en-GB"/>
        </w:rPr>
        <w:t xml:space="preserve">to the </w:t>
      </w:r>
      <w:r w:rsidRPr="00BA6C5E">
        <w:rPr>
          <w:color w:val="000000"/>
          <w:lang w:val="en-GB"/>
        </w:rPr>
        <w:t xml:space="preserve">needs and possibilities of teachers and students and </w:t>
      </w:r>
      <w:r>
        <w:rPr>
          <w:color w:val="000000"/>
          <w:lang w:val="en-GB"/>
        </w:rPr>
        <w:t xml:space="preserve">the </w:t>
      </w:r>
      <w:r w:rsidRPr="00BA6C5E">
        <w:rPr>
          <w:color w:val="000000"/>
          <w:lang w:val="en-GB"/>
        </w:rPr>
        <w:t xml:space="preserve">experts found </w:t>
      </w:r>
      <w:r>
        <w:rPr>
          <w:color w:val="000000"/>
          <w:lang w:val="en-GB"/>
        </w:rPr>
        <w:t>it</w:t>
      </w:r>
      <w:r w:rsidRPr="00BA6C5E">
        <w:rPr>
          <w:color w:val="000000"/>
          <w:lang w:val="en-GB"/>
        </w:rPr>
        <w:t xml:space="preserve"> optimal for the specific features of the </w:t>
      </w:r>
      <w:r>
        <w:rPr>
          <w:color w:val="000000"/>
          <w:lang w:val="en-GB"/>
        </w:rPr>
        <w:t>program</w:t>
      </w:r>
      <w:r w:rsidRPr="00BA6C5E">
        <w:rPr>
          <w:color w:val="000000"/>
          <w:lang w:val="en-GB"/>
        </w:rPr>
        <w:t>.</w:t>
      </w:r>
    </w:p>
    <w:p w:rsidR="008F519B" w:rsidRPr="00BA6C5E" w:rsidRDefault="008F519B" w:rsidP="00FB52E6">
      <w:pPr>
        <w:numPr>
          <w:ilvl w:val="8"/>
          <w:numId w:val="1"/>
        </w:numPr>
        <w:spacing w:line="240" w:lineRule="auto"/>
        <w:ind w:firstLine="360"/>
        <w:rPr>
          <w:color w:val="000000"/>
          <w:lang w:val="en-GB"/>
        </w:rPr>
      </w:pPr>
      <w:r w:rsidRPr="00BA6C5E">
        <w:rPr>
          <w:color w:val="000000"/>
          <w:lang w:val="en-GB"/>
        </w:rPr>
        <w:t xml:space="preserve"> </w:t>
      </w:r>
    </w:p>
    <w:p w:rsidR="008F519B" w:rsidRPr="00BA6C5E" w:rsidRDefault="008F519B" w:rsidP="006F7D24">
      <w:pPr>
        <w:spacing w:line="240" w:lineRule="auto"/>
        <w:rPr>
          <w:color w:val="000000"/>
          <w:lang w:val="en-GB"/>
        </w:rPr>
      </w:pPr>
      <w:r w:rsidRPr="00BA6C5E">
        <w:rPr>
          <w:color w:val="000000"/>
          <w:lang w:val="en-GB"/>
        </w:rPr>
        <w:t xml:space="preserve">5.2.2. </w:t>
      </w:r>
      <w:r w:rsidRPr="00BA6C5E">
        <w:rPr>
          <w:i/>
          <w:lang w:val="en-GB"/>
        </w:rPr>
        <w:t xml:space="preserve">Student academic performance </w:t>
      </w:r>
      <w:r w:rsidRPr="00BA6C5E">
        <w:rPr>
          <w:lang w:val="en-GB"/>
        </w:rPr>
        <w:t xml:space="preserve"> </w:t>
      </w:r>
    </w:p>
    <w:p w:rsidR="008F519B" w:rsidRPr="00BA6C5E" w:rsidRDefault="008F519B" w:rsidP="006F7D24">
      <w:pPr>
        <w:spacing w:line="240" w:lineRule="auto"/>
        <w:rPr>
          <w:color w:val="000000"/>
          <w:lang w:val="en-GB"/>
        </w:rPr>
      </w:pPr>
      <w:r>
        <w:rPr>
          <w:color w:val="000000"/>
          <w:lang w:val="en-GB"/>
        </w:rPr>
        <w:t>Summative</w:t>
      </w:r>
      <w:r w:rsidRPr="00BA6C5E">
        <w:rPr>
          <w:color w:val="000000"/>
          <w:lang w:val="en-GB"/>
        </w:rPr>
        <w:t xml:space="preserve"> mark</w:t>
      </w:r>
      <w:r>
        <w:rPr>
          <w:color w:val="000000"/>
          <w:lang w:val="en-GB"/>
        </w:rPr>
        <w:t>s</w:t>
      </w:r>
      <w:r w:rsidRPr="00BA6C5E">
        <w:rPr>
          <w:color w:val="000000"/>
          <w:lang w:val="en-GB"/>
        </w:rPr>
        <w:t xml:space="preserve"> and </w:t>
      </w:r>
      <w:r>
        <w:rPr>
          <w:color w:val="000000"/>
          <w:lang w:val="en-GB"/>
        </w:rPr>
        <w:t xml:space="preserve"> </w:t>
      </w:r>
      <w:r w:rsidRPr="00BA6C5E">
        <w:rPr>
          <w:color w:val="000000"/>
          <w:lang w:val="en-GB"/>
        </w:rPr>
        <w:t xml:space="preserve">exams </w:t>
      </w:r>
      <w:r>
        <w:rPr>
          <w:color w:val="000000"/>
          <w:lang w:val="en-GB"/>
        </w:rPr>
        <w:t>are</w:t>
      </w:r>
      <w:r w:rsidRPr="00BA6C5E">
        <w:rPr>
          <w:color w:val="000000"/>
          <w:lang w:val="en-GB"/>
        </w:rPr>
        <w:t xml:space="preserve"> used. All students’ activity is included in the final rating of a subject. The </w:t>
      </w:r>
      <w:r>
        <w:rPr>
          <w:color w:val="000000"/>
          <w:lang w:val="en-GB"/>
        </w:rPr>
        <w:t xml:space="preserve">marks </w:t>
      </w:r>
      <w:r w:rsidRPr="00BA6C5E">
        <w:rPr>
          <w:lang w:val="en-GB"/>
        </w:rPr>
        <w:t xml:space="preserve">average of all the study subjects is high and </w:t>
      </w:r>
      <w:r>
        <w:rPr>
          <w:lang w:val="en-GB"/>
        </w:rPr>
        <w:t>meets</w:t>
      </w:r>
      <w:r w:rsidRPr="00BA6C5E">
        <w:rPr>
          <w:lang w:val="en-GB"/>
        </w:rPr>
        <w:t xml:space="preserve"> 8.78</w:t>
      </w:r>
      <w:r w:rsidRPr="00BA6C5E">
        <w:rPr>
          <w:color w:val="000000"/>
          <w:lang w:val="en-GB"/>
        </w:rPr>
        <w:t xml:space="preserve"> points. The wish to receive a scholarship and </w:t>
      </w:r>
      <w:r>
        <w:rPr>
          <w:color w:val="000000"/>
          <w:lang w:val="en-GB"/>
        </w:rPr>
        <w:t>a state-financed place</w:t>
      </w:r>
      <w:r w:rsidRPr="00BA6C5E">
        <w:rPr>
          <w:color w:val="000000"/>
          <w:lang w:val="en-GB"/>
        </w:rPr>
        <w:t xml:space="preserve"> (if </w:t>
      </w:r>
      <w:r>
        <w:rPr>
          <w:color w:val="000000"/>
          <w:lang w:val="en-GB"/>
        </w:rPr>
        <w:t xml:space="preserve">the </w:t>
      </w:r>
      <w:r w:rsidRPr="00BA6C5E">
        <w:rPr>
          <w:color w:val="000000"/>
          <w:lang w:val="en-GB"/>
        </w:rPr>
        <w:t xml:space="preserve">student is in </w:t>
      </w:r>
      <w:r>
        <w:rPr>
          <w:color w:val="000000"/>
          <w:lang w:val="en-GB"/>
        </w:rPr>
        <w:t>such a</w:t>
      </w:r>
      <w:r w:rsidRPr="00BA6C5E">
        <w:rPr>
          <w:color w:val="000000"/>
          <w:lang w:val="en-GB"/>
        </w:rPr>
        <w:t xml:space="preserve"> position) is </w:t>
      </w:r>
      <w:r>
        <w:rPr>
          <w:color w:val="000000"/>
          <w:lang w:val="en-GB"/>
        </w:rPr>
        <w:t xml:space="preserve">a </w:t>
      </w:r>
      <w:r w:rsidRPr="00BA6C5E">
        <w:rPr>
          <w:color w:val="000000"/>
          <w:lang w:val="en-GB"/>
        </w:rPr>
        <w:t>strong motivation</w:t>
      </w:r>
      <w:r>
        <w:rPr>
          <w:color w:val="000000"/>
          <w:lang w:val="en-GB"/>
        </w:rPr>
        <w:t>.</w:t>
      </w:r>
      <w:r w:rsidRPr="00BA6C5E">
        <w:rPr>
          <w:color w:val="000000"/>
          <w:lang w:val="en-GB"/>
        </w:rPr>
        <w:t xml:space="preserve"> </w:t>
      </w:r>
      <w:r>
        <w:rPr>
          <w:color w:val="000000"/>
          <w:lang w:val="en-GB"/>
        </w:rPr>
        <w:t xml:space="preserve"> The s</w:t>
      </w:r>
      <w:r w:rsidRPr="00BA6C5E">
        <w:rPr>
          <w:color w:val="000000"/>
          <w:lang w:val="en-GB"/>
        </w:rPr>
        <w:t>tudents are involved in research and artistic activity</w:t>
      </w:r>
      <w:r>
        <w:rPr>
          <w:color w:val="000000"/>
          <w:lang w:val="en-GB"/>
        </w:rPr>
        <w:t xml:space="preserve"> in</w:t>
      </w:r>
      <w:r w:rsidRPr="00BA6C5E">
        <w:rPr>
          <w:color w:val="000000"/>
          <w:lang w:val="en-GB"/>
        </w:rPr>
        <w:t xml:space="preserve"> </w:t>
      </w:r>
      <w:r>
        <w:rPr>
          <w:color w:val="000000"/>
          <w:lang w:val="en-GB"/>
        </w:rPr>
        <w:t>various ways</w:t>
      </w:r>
      <w:r w:rsidRPr="00BA6C5E">
        <w:rPr>
          <w:color w:val="000000"/>
          <w:lang w:val="en-GB"/>
        </w:rPr>
        <w:t xml:space="preserve"> </w:t>
      </w:r>
      <w:r>
        <w:rPr>
          <w:color w:val="000000"/>
          <w:lang w:val="en-GB"/>
        </w:rPr>
        <w:t>according to the SA (</w:t>
      </w:r>
      <w:r w:rsidRPr="00BA6C5E">
        <w:rPr>
          <w:color w:val="000000"/>
          <w:lang w:val="en-GB"/>
        </w:rPr>
        <w:t>p. 28): student conferences, national and internation</w:t>
      </w:r>
      <w:r>
        <w:rPr>
          <w:color w:val="000000"/>
          <w:lang w:val="en-GB"/>
        </w:rPr>
        <w:t xml:space="preserve">al conferences  along </w:t>
      </w:r>
      <w:r w:rsidRPr="00BA6C5E">
        <w:rPr>
          <w:color w:val="000000"/>
          <w:lang w:val="en-GB"/>
        </w:rPr>
        <w:t xml:space="preserve">with </w:t>
      </w:r>
      <w:r>
        <w:rPr>
          <w:color w:val="000000"/>
          <w:lang w:val="en-GB"/>
        </w:rPr>
        <w:t xml:space="preserve">their teachers, </w:t>
      </w:r>
      <w:r w:rsidRPr="00BA6C5E">
        <w:rPr>
          <w:color w:val="000000"/>
          <w:lang w:val="en-GB"/>
        </w:rPr>
        <w:t xml:space="preserve">Bachelor papers </w:t>
      </w:r>
      <w:r>
        <w:rPr>
          <w:color w:val="000000"/>
          <w:lang w:val="en-GB"/>
        </w:rPr>
        <w:t>connected to research fields of the</w:t>
      </w:r>
      <w:r w:rsidRPr="00BA6C5E">
        <w:rPr>
          <w:color w:val="000000"/>
          <w:lang w:val="en-GB"/>
        </w:rPr>
        <w:t xml:space="preserve"> department. </w:t>
      </w:r>
      <w:r>
        <w:rPr>
          <w:color w:val="000000"/>
          <w:lang w:val="en-GB"/>
        </w:rPr>
        <w:t>The a</w:t>
      </w:r>
      <w:r w:rsidRPr="00BA6C5E">
        <w:rPr>
          <w:color w:val="000000"/>
          <w:lang w:val="en-GB"/>
        </w:rPr>
        <w:t xml:space="preserve">rtistic activity </w:t>
      </w:r>
      <w:r>
        <w:rPr>
          <w:color w:val="000000"/>
          <w:lang w:val="en-GB"/>
        </w:rPr>
        <w:t>is performed</w:t>
      </w:r>
      <w:r w:rsidRPr="00BA6C5E">
        <w:rPr>
          <w:color w:val="000000"/>
          <w:lang w:val="en-GB"/>
        </w:rPr>
        <w:t xml:space="preserve"> with </w:t>
      </w:r>
      <w:r>
        <w:rPr>
          <w:color w:val="000000"/>
          <w:lang w:val="en-GB"/>
        </w:rPr>
        <w:t xml:space="preserve">the </w:t>
      </w:r>
      <w:r w:rsidRPr="00BA6C5E">
        <w:rPr>
          <w:color w:val="000000"/>
          <w:lang w:val="en-GB"/>
        </w:rPr>
        <w:t>participation</w:t>
      </w:r>
      <w:r>
        <w:rPr>
          <w:color w:val="000000"/>
          <w:lang w:val="en-GB"/>
        </w:rPr>
        <w:t xml:space="preserve"> to VPU</w:t>
      </w:r>
      <w:r w:rsidRPr="00BA6C5E">
        <w:rPr>
          <w:color w:val="000000"/>
          <w:lang w:val="en-GB"/>
        </w:rPr>
        <w:t xml:space="preserve"> music ensembles (choir “Ave vita”, so</w:t>
      </w:r>
      <w:r>
        <w:rPr>
          <w:color w:val="000000"/>
          <w:lang w:val="en-GB"/>
        </w:rPr>
        <w:t>u</w:t>
      </w:r>
      <w:r w:rsidRPr="00BA6C5E">
        <w:rPr>
          <w:color w:val="000000"/>
          <w:lang w:val="en-GB"/>
        </w:rPr>
        <w:t>nd and dance ensemble “Šviesa”, folk ensemble “Poringė”), various music</w:t>
      </w:r>
      <w:r>
        <w:rPr>
          <w:color w:val="000000"/>
          <w:lang w:val="en-GB"/>
        </w:rPr>
        <w:t>al</w:t>
      </w:r>
      <w:r w:rsidRPr="00BA6C5E">
        <w:rPr>
          <w:color w:val="000000"/>
          <w:lang w:val="en-GB"/>
        </w:rPr>
        <w:t xml:space="preserve"> competitions, festivals</w:t>
      </w:r>
      <w:r>
        <w:rPr>
          <w:color w:val="000000"/>
          <w:lang w:val="en-GB"/>
        </w:rPr>
        <w:t xml:space="preserve"> and</w:t>
      </w:r>
      <w:r w:rsidRPr="00BA6C5E">
        <w:rPr>
          <w:color w:val="000000"/>
          <w:lang w:val="en-GB"/>
        </w:rPr>
        <w:t xml:space="preserve"> concerts in different places of the city.</w:t>
      </w:r>
    </w:p>
    <w:p w:rsidR="008F519B" w:rsidRPr="00BA6C5E" w:rsidRDefault="008F519B" w:rsidP="00FB52E6">
      <w:pPr>
        <w:numPr>
          <w:ilvl w:val="8"/>
          <w:numId w:val="1"/>
        </w:numPr>
        <w:spacing w:line="240" w:lineRule="auto"/>
        <w:ind w:firstLine="360"/>
        <w:rPr>
          <w:color w:val="000000"/>
          <w:lang w:val="en-GB"/>
        </w:rPr>
      </w:pPr>
    </w:p>
    <w:p w:rsidR="008F519B" w:rsidRPr="00BA6C5E" w:rsidRDefault="008F519B" w:rsidP="00FB52E6">
      <w:pPr>
        <w:spacing w:line="240" w:lineRule="auto"/>
        <w:rPr>
          <w:lang w:val="en-GB"/>
        </w:rPr>
      </w:pPr>
      <w:r w:rsidRPr="00BA6C5E">
        <w:rPr>
          <w:lang w:val="en-GB"/>
        </w:rPr>
        <w:t>5.2.3.</w:t>
      </w:r>
      <w:r w:rsidRPr="00BA6C5E">
        <w:rPr>
          <w:i/>
          <w:lang w:val="en-GB"/>
        </w:rPr>
        <w:t xml:space="preserve"> Mobility of teachers and students </w:t>
      </w:r>
      <w:r w:rsidRPr="00BA6C5E">
        <w:rPr>
          <w:lang w:val="en-GB"/>
        </w:rPr>
        <w:t xml:space="preserve"> </w:t>
      </w:r>
    </w:p>
    <w:p w:rsidR="008F519B" w:rsidRPr="00BA6C5E" w:rsidRDefault="008F519B" w:rsidP="00496C0F">
      <w:pPr>
        <w:spacing w:line="240" w:lineRule="auto"/>
        <w:rPr>
          <w:lang w:val="en-GB"/>
        </w:rPr>
      </w:pPr>
      <w:r w:rsidRPr="00BA6C5E">
        <w:rPr>
          <w:color w:val="000000"/>
          <w:lang w:val="en-GB"/>
        </w:rPr>
        <w:t xml:space="preserve">The Erasmus agreements and individual professional </w:t>
      </w:r>
      <w:r w:rsidRPr="00BA6C5E">
        <w:rPr>
          <w:lang w:val="en-GB"/>
        </w:rPr>
        <w:t xml:space="preserve">visits are used by teachers and students. </w:t>
      </w:r>
      <w:r>
        <w:rPr>
          <w:lang w:val="en-GB"/>
        </w:rPr>
        <w:t xml:space="preserve">Nevertheless, </w:t>
      </w:r>
      <w:r w:rsidRPr="00BA6C5E">
        <w:rPr>
          <w:lang w:val="en-GB"/>
        </w:rPr>
        <w:t xml:space="preserve"> only </w:t>
      </w:r>
      <w:r w:rsidRPr="00BA6C5E">
        <w:rPr>
          <w:lang w:val="en-US"/>
        </w:rPr>
        <w:t xml:space="preserve">23% of all the full-time teachers </w:t>
      </w:r>
      <w:r w:rsidRPr="00BA6C5E">
        <w:rPr>
          <w:lang w:val="en-GB"/>
        </w:rPr>
        <w:t>and only 2 students</w:t>
      </w:r>
      <w:r w:rsidRPr="00BA6C5E">
        <w:rPr>
          <w:lang w:val="en-US"/>
        </w:rPr>
        <w:t xml:space="preserve"> were mobile during self-assessment (SA, p. 29). The </w:t>
      </w:r>
      <w:r>
        <w:rPr>
          <w:lang w:val="en-US"/>
        </w:rPr>
        <w:t xml:space="preserve">visiting experts agree with the administration when it mentions mobility as a key issue for the future (SA, p.29) and recommend to explore thoroughly all the possibilities offered on the international </w:t>
      </w:r>
      <w:r w:rsidRPr="009C02A4">
        <w:rPr>
          <w:lang w:val="en-US"/>
        </w:rPr>
        <w:t xml:space="preserve">level </w:t>
      </w:r>
      <w:r w:rsidRPr="009C02A4">
        <w:rPr>
          <w:lang w:val="en-GB"/>
        </w:rPr>
        <w:t xml:space="preserve">(see recommendation </w:t>
      </w:r>
      <w:r>
        <w:rPr>
          <w:lang w:val="en-GB"/>
        </w:rPr>
        <w:t>III.</w:t>
      </w:r>
      <w:r w:rsidRPr="009C02A4">
        <w:rPr>
          <w:lang w:val="en-GB"/>
        </w:rPr>
        <w:t>3.3).</w:t>
      </w:r>
      <w:r w:rsidRPr="00BA6C5E">
        <w:rPr>
          <w:lang w:val="en-GB"/>
        </w:rPr>
        <w:t xml:space="preserve"> </w:t>
      </w:r>
    </w:p>
    <w:p w:rsidR="008F519B" w:rsidRPr="00BA6C5E" w:rsidRDefault="008F519B" w:rsidP="00174068">
      <w:pPr>
        <w:pStyle w:val="Heading3"/>
      </w:pPr>
      <w:bookmarkStart w:id="37" w:name="_5.3._Student_support"/>
      <w:bookmarkEnd w:id="37"/>
      <w:r w:rsidRPr="00BA6C5E">
        <w:rPr>
          <w:i/>
        </w:rPr>
        <w:t xml:space="preserve"> </w:t>
      </w:r>
      <w:bookmarkStart w:id="38" w:name="_Toc278293013"/>
      <w:r w:rsidRPr="00BA6C5E">
        <w:t>5.3. Student support</w:t>
      </w:r>
      <w:bookmarkEnd w:id="38"/>
      <w:r w:rsidRPr="00BA6C5E">
        <w:t xml:space="preserve"> </w:t>
      </w:r>
    </w:p>
    <w:p w:rsidR="008F519B" w:rsidRPr="00BA6C5E" w:rsidRDefault="008F519B" w:rsidP="00FB52E6">
      <w:pPr>
        <w:spacing w:line="240" w:lineRule="auto"/>
        <w:rPr>
          <w:i/>
          <w:lang w:val="en-GB"/>
        </w:rPr>
      </w:pPr>
      <w:r>
        <w:rPr>
          <w:lang w:val="en-GB"/>
        </w:rPr>
        <w:t xml:space="preserve"> </w:t>
      </w:r>
      <w:r w:rsidRPr="00BA6C5E">
        <w:rPr>
          <w:lang w:val="en-GB"/>
        </w:rPr>
        <w:t xml:space="preserve">5.3.1. </w:t>
      </w:r>
      <w:r w:rsidRPr="00BA6C5E">
        <w:rPr>
          <w:i/>
          <w:lang w:val="en-GB"/>
        </w:rPr>
        <w:t>Usefulness of academic support</w:t>
      </w:r>
    </w:p>
    <w:p w:rsidR="008F519B" w:rsidRPr="00BA6C5E" w:rsidRDefault="008F519B" w:rsidP="00D22421">
      <w:pPr>
        <w:spacing w:line="240" w:lineRule="auto"/>
        <w:rPr>
          <w:color w:val="000000"/>
          <w:lang w:val="en-GB"/>
        </w:rPr>
      </w:pPr>
      <w:r w:rsidRPr="00BA6C5E">
        <w:rPr>
          <w:color w:val="000000"/>
          <w:lang w:val="en-GB"/>
        </w:rPr>
        <w:t xml:space="preserve">There is </w:t>
      </w:r>
      <w:r>
        <w:rPr>
          <w:color w:val="000000"/>
          <w:lang w:val="en-GB"/>
        </w:rPr>
        <w:t xml:space="preserve">a </w:t>
      </w:r>
      <w:r w:rsidRPr="00BA6C5E">
        <w:rPr>
          <w:color w:val="000000"/>
          <w:lang w:val="en-GB"/>
        </w:rPr>
        <w:t xml:space="preserve">well organised system of academic support. The SA presents the dissemination of information on the </w:t>
      </w:r>
      <w:r>
        <w:rPr>
          <w:color w:val="000000"/>
          <w:lang w:val="en-GB"/>
        </w:rPr>
        <w:t>program</w:t>
      </w:r>
      <w:r w:rsidRPr="00BA6C5E">
        <w:rPr>
          <w:color w:val="000000"/>
          <w:lang w:val="en-GB"/>
        </w:rPr>
        <w:t xml:space="preserve"> on internet website, students’ consultation about studies and career perspectives</w:t>
      </w:r>
      <w:r>
        <w:rPr>
          <w:color w:val="000000"/>
          <w:lang w:val="en-GB"/>
        </w:rPr>
        <w:t xml:space="preserve"> is available, and there are </w:t>
      </w:r>
      <w:r w:rsidRPr="00BA6C5E">
        <w:rPr>
          <w:color w:val="000000"/>
          <w:lang w:val="en-GB"/>
        </w:rPr>
        <w:t xml:space="preserve">possibilities for studying according to individual </w:t>
      </w:r>
      <w:r>
        <w:rPr>
          <w:color w:val="000000"/>
          <w:lang w:val="en-GB"/>
        </w:rPr>
        <w:t>program</w:t>
      </w:r>
      <w:r w:rsidRPr="00BA6C5E">
        <w:rPr>
          <w:color w:val="000000"/>
          <w:lang w:val="en-GB"/>
        </w:rPr>
        <w:t xml:space="preserve">, </w:t>
      </w:r>
      <w:r>
        <w:rPr>
          <w:color w:val="000000"/>
          <w:lang w:val="en-GB"/>
        </w:rPr>
        <w:t>and</w:t>
      </w:r>
      <w:r w:rsidRPr="00BA6C5E">
        <w:rPr>
          <w:color w:val="000000"/>
          <w:lang w:val="en-GB"/>
        </w:rPr>
        <w:t xml:space="preserve"> for students to repeat a course or retake examination (SA, p. 30). The visiting experts found th</w:t>
      </w:r>
      <w:r>
        <w:rPr>
          <w:color w:val="000000"/>
          <w:lang w:val="en-GB"/>
        </w:rPr>
        <w:t>ese elements</w:t>
      </w:r>
      <w:r w:rsidRPr="00BA6C5E">
        <w:rPr>
          <w:color w:val="000000"/>
          <w:lang w:val="en-GB"/>
        </w:rPr>
        <w:t xml:space="preserve"> useful and well working.</w:t>
      </w:r>
    </w:p>
    <w:p w:rsidR="008F519B" w:rsidRPr="00BA6C5E" w:rsidRDefault="008F519B" w:rsidP="00FB52E6">
      <w:pPr>
        <w:numPr>
          <w:ilvl w:val="8"/>
          <w:numId w:val="1"/>
        </w:numPr>
        <w:spacing w:line="240" w:lineRule="auto"/>
        <w:ind w:firstLine="360"/>
        <w:rPr>
          <w:color w:val="000000"/>
          <w:lang w:val="en-GB"/>
        </w:rPr>
      </w:pPr>
    </w:p>
    <w:p w:rsidR="008F519B" w:rsidRPr="00BA6C5E" w:rsidRDefault="008F519B" w:rsidP="000A3813">
      <w:pPr>
        <w:spacing w:line="240" w:lineRule="auto"/>
        <w:rPr>
          <w:lang w:val="en-GB"/>
        </w:rPr>
      </w:pPr>
      <w:r>
        <w:rPr>
          <w:lang w:val="en-GB"/>
        </w:rPr>
        <w:t xml:space="preserve"> </w:t>
      </w:r>
      <w:r w:rsidRPr="00BA6C5E">
        <w:rPr>
          <w:lang w:val="en-GB"/>
        </w:rPr>
        <w:t xml:space="preserve">5.3.2. </w:t>
      </w:r>
      <w:r w:rsidRPr="00BA6C5E">
        <w:rPr>
          <w:i/>
          <w:lang w:val="en-GB"/>
        </w:rPr>
        <w:t xml:space="preserve">Efficiency of social support </w:t>
      </w:r>
    </w:p>
    <w:p w:rsidR="008F519B" w:rsidRDefault="008F519B" w:rsidP="003D0AA6">
      <w:pPr>
        <w:spacing w:line="240" w:lineRule="auto"/>
        <w:rPr>
          <w:lang w:val="en-GB"/>
        </w:rPr>
      </w:pPr>
      <w:r>
        <w:rPr>
          <w:lang w:val="en-GB"/>
        </w:rPr>
        <w:t xml:space="preserve"> </w:t>
      </w:r>
      <w:r w:rsidRPr="00BA6C5E">
        <w:rPr>
          <w:color w:val="000000"/>
          <w:lang w:val="en-GB"/>
        </w:rPr>
        <w:t xml:space="preserve">There are different kinds of social support – psychological support, sport and artistic activity. It is clear described in SA (p. 30): </w:t>
      </w:r>
      <w:r w:rsidRPr="00BA6C5E">
        <w:rPr>
          <w:i/>
          <w:color w:val="000000"/>
          <w:lang w:val="en-GB"/>
        </w:rPr>
        <w:t xml:space="preserve">there is a University </w:t>
      </w:r>
      <w:r w:rsidRPr="00BA6C5E">
        <w:rPr>
          <w:i/>
          <w:lang w:val="en-GB"/>
        </w:rPr>
        <w:t xml:space="preserve">Psychological Consulting Centre which provides individual psychological assistance, holds group meetings for self-knowledge, personality growth, development of communication skills, conflict resolution and creativity development. Moreover, the centre provides information related to the choice of profession and career. </w:t>
      </w:r>
    </w:p>
    <w:p w:rsidR="008F519B" w:rsidRPr="00D22421" w:rsidRDefault="008F519B" w:rsidP="003D0AA6">
      <w:pPr>
        <w:spacing w:line="240" w:lineRule="auto"/>
        <w:rPr>
          <w:lang w:val="en-GB"/>
        </w:rPr>
      </w:pPr>
      <w:r w:rsidRPr="00BA6C5E">
        <w:rPr>
          <w:i/>
          <w:lang w:val="en-GB"/>
        </w:rPr>
        <w:t>The Sports Centre rallies teachers and students who want to go in for sports and tourism, organises training sessions in favourite kinds of sports (basketball, handball, volleyball, football, field-and track athletics, table tennis, aerobics, aikido, body building, yoga, etc.).</w:t>
      </w:r>
    </w:p>
    <w:p w:rsidR="008F519B" w:rsidRPr="00BA6C5E" w:rsidRDefault="008F519B" w:rsidP="003D0AA6">
      <w:pPr>
        <w:spacing w:line="240" w:lineRule="auto"/>
        <w:rPr>
          <w:i/>
          <w:lang w:val="en-GB"/>
        </w:rPr>
      </w:pPr>
      <w:r w:rsidRPr="00BA6C5E">
        <w:rPr>
          <w:i/>
          <w:lang w:val="en-GB"/>
        </w:rPr>
        <w:t xml:space="preserve"> Students have a possibility to join VPU artistic collectives (academic mixed choir “Ave Vita”, song and dance ensemble</w:t>
      </w:r>
      <w:r w:rsidRPr="00BA6C5E">
        <w:rPr>
          <w:bCs/>
          <w:i/>
          <w:lang w:val="en-GB"/>
        </w:rPr>
        <w:t xml:space="preserve"> “Šviesa”, folklore ensemble “Poringė”, string chamber ensemble “Credo”, Drama studio)</w:t>
      </w:r>
      <w:r w:rsidRPr="00BA6C5E">
        <w:rPr>
          <w:i/>
          <w:lang w:val="en-GB"/>
        </w:rPr>
        <w:t>. About 500 students from various University faculties and institutions participate in their activity. Preparing projects, organising concerts, contests, festivals and exhibitions, holding commemorative events of important public dates, the Centre of Culture creates conditions for students to purposefully spend their leisure time. The Centre cooperates with Lithuanian and foreign organisations develop joint projects with Žvėrynas community, care and foster homes, schools and Vilnius Municipality.</w:t>
      </w:r>
    </w:p>
    <w:p w:rsidR="008F519B" w:rsidRPr="00BA6C5E" w:rsidRDefault="008F519B" w:rsidP="00D22421">
      <w:pPr>
        <w:spacing w:line="240" w:lineRule="auto"/>
        <w:rPr>
          <w:color w:val="000000"/>
          <w:lang w:val="en-GB"/>
        </w:rPr>
      </w:pPr>
      <w:r w:rsidRPr="00BA6C5E">
        <w:rPr>
          <w:color w:val="000000"/>
          <w:lang w:val="en-GB"/>
        </w:rPr>
        <w:t>The schol</w:t>
      </w:r>
      <w:r>
        <w:rPr>
          <w:color w:val="000000"/>
          <w:lang w:val="en-GB"/>
        </w:rPr>
        <w:t xml:space="preserve">arships and social benefits </w:t>
      </w:r>
      <w:r w:rsidRPr="00BA6C5E">
        <w:rPr>
          <w:color w:val="000000"/>
          <w:lang w:val="en-GB"/>
        </w:rPr>
        <w:t xml:space="preserve">also </w:t>
      </w:r>
      <w:r>
        <w:rPr>
          <w:color w:val="000000"/>
          <w:lang w:val="en-GB"/>
        </w:rPr>
        <w:t>support the students in an efficient way.</w:t>
      </w:r>
      <w:r w:rsidRPr="00BA6C5E">
        <w:rPr>
          <w:color w:val="000000"/>
          <w:lang w:val="en-GB"/>
        </w:rPr>
        <w:t xml:space="preserve"> Provision with accommodation in students’ hostels is </w:t>
      </w:r>
      <w:r>
        <w:rPr>
          <w:color w:val="000000"/>
          <w:lang w:val="en-GB"/>
        </w:rPr>
        <w:t>also</w:t>
      </w:r>
      <w:r w:rsidRPr="00BA6C5E">
        <w:rPr>
          <w:color w:val="000000"/>
          <w:lang w:val="en-GB"/>
        </w:rPr>
        <w:t xml:space="preserve"> efficient.</w:t>
      </w:r>
      <w:r>
        <w:rPr>
          <w:color w:val="000000"/>
          <w:lang w:val="en-GB"/>
        </w:rPr>
        <w:t xml:space="preserve"> In general, t</w:t>
      </w:r>
      <w:r w:rsidRPr="00BA6C5E">
        <w:rPr>
          <w:color w:val="000000"/>
          <w:lang w:val="en-GB"/>
        </w:rPr>
        <w:t xml:space="preserve">he visiting experts </w:t>
      </w:r>
      <w:r>
        <w:rPr>
          <w:color w:val="000000"/>
          <w:lang w:val="en-GB"/>
        </w:rPr>
        <w:t>found a</w:t>
      </w:r>
      <w:r w:rsidRPr="00BA6C5E">
        <w:rPr>
          <w:color w:val="000000"/>
          <w:lang w:val="en-GB"/>
        </w:rPr>
        <w:t xml:space="preserve"> very high level</w:t>
      </w:r>
      <w:r>
        <w:rPr>
          <w:color w:val="000000"/>
          <w:lang w:val="en-GB"/>
        </w:rPr>
        <w:t xml:space="preserve"> of social support</w:t>
      </w:r>
      <w:r w:rsidRPr="00BA6C5E">
        <w:rPr>
          <w:color w:val="000000"/>
          <w:lang w:val="en-GB"/>
        </w:rPr>
        <w:t>.</w:t>
      </w:r>
    </w:p>
    <w:p w:rsidR="008F519B" w:rsidRPr="00BA6C5E" w:rsidRDefault="008F519B" w:rsidP="00174068">
      <w:pPr>
        <w:pStyle w:val="Heading3"/>
      </w:pPr>
      <w:bookmarkStart w:id="39" w:name="_5.4._Achievement_assessment"/>
      <w:bookmarkStart w:id="40" w:name="_Toc278293014"/>
      <w:bookmarkEnd w:id="39"/>
      <w:r w:rsidRPr="00BA6C5E">
        <w:t>5.4. Student achievement assessment</w:t>
      </w:r>
      <w:bookmarkEnd w:id="40"/>
      <w:r w:rsidRPr="00BA6C5E">
        <w:t xml:space="preserve"> </w:t>
      </w:r>
    </w:p>
    <w:p w:rsidR="008F519B" w:rsidRPr="00BA6C5E" w:rsidRDefault="008F519B" w:rsidP="00FB52E6">
      <w:pPr>
        <w:spacing w:line="240" w:lineRule="auto"/>
        <w:rPr>
          <w:i/>
          <w:lang w:val="en-GB"/>
        </w:rPr>
      </w:pPr>
      <w:r w:rsidRPr="00BA6C5E">
        <w:rPr>
          <w:lang w:val="en-GB"/>
        </w:rPr>
        <w:t xml:space="preserve">5.4.1. </w:t>
      </w:r>
      <w:r w:rsidRPr="00BA6C5E">
        <w:rPr>
          <w:i/>
          <w:lang w:val="en-GB"/>
        </w:rPr>
        <w:t xml:space="preserve">Suitability of assessment criteria and their publicity </w:t>
      </w:r>
    </w:p>
    <w:p w:rsidR="008F519B" w:rsidRPr="00BA6C5E" w:rsidRDefault="008F519B" w:rsidP="00C60EA9">
      <w:pPr>
        <w:spacing w:line="240" w:lineRule="auto"/>
        <w:rPr>
          <w:color w:val="000000"/>
          <w:lang w:val="en-GB"/>
        </w:rPr>
      </w:pPr>
      <w:r w:rsidRPr="00BA6C5E">
        <w:rPr>
          <w:color w:val="000000"/>
          <w:lang w:val="en-GB"/>
        </w:rPr>
        <w:t xml:space="preserve">Students are evaluated according to the </w:t>
      </w:r>
      <w:r>
        <w:rPr>
          <w:color w:val="000000"/>
          <w:lang w:val="en-GB"/>
        </w:rPr>
        <w:t>VPU r</w:t>
      </w:r>
      <w:r w:rsidRPr="00BA6C5E">
        <w:rPr>
          <w:color w:val="000000"/>
          <w:lang w:val="en-GB"/>
        </w:rPr>
        <w:t xml:space="preserve">egulations. </w:t>
      </w:r>
      <w:r>
        <w:rPr>
          <w:color w:val="000000"/>
          <w:lang w:val="en-GB"/>
        </w:rPr>
        <w:t>The a</w:t>
      </w:r>
      <w:r w:rsidRPr="00BA6C5E">
        <w:rPr>
          <w:color w:val="000000"/>
          <w:lang w:val="en-GB"/>
        </w:rPr>
        <w:t xml:space="preserve">ssessment criteria are given as a special brochure to each student when </w:t>
      </w:r>
      <w:r>
        <w:rPr>
          <w:color w:val="000000"/>
          <w:lang w:val="en-GB"/>
        </w:rPr>
        <w:t xml:space="preserve">the </w:t>
      </w:r>
      <w:r w:rsidRPr="00BA6C5E">
        <w:rPr>
          <w:color w:val="000000"/>
          <w:lang w:val="en-GB"/>
        </w:rPr>
        <w:t xml:space="preserve">agreement with </w:t>
      </w:r>
      <w:r>
        <w:rPr>
          <w:color w:val="000000"/>
          <w:lang w:val="en-GB"/>
        </w:rPr>
        <w:t>the</w:t>
      </w:r>
      <w:r w:rsidRPr="00BA6C5E">
        <w:rPr>
          <w:color w:val="000000"/>
          <w:lang w:val="en-GB"/>
        </w:rPr>
        <w:t xml:space="preserve"> university is signed. Additionally information about evaluation criteria and special points of assessment </w:t>
      </w:r>
      <w:r>
        <w:rPr>
          <w:color w:val="000000"/>
          <w:lang w:val="en-GB"/>
        </w:rPr>
        <w:t>is available</w:t>
      </w:r>
      <w:r w:rsidRPr="00BA6C5E">
        <w:rPr>
          <w:color w:val="000000"/>
          <w:lang w:val="en-GB"/>
        </w:rPr>
        <w:t xml:space="preserve"> </w:t>
      </w:r>
      <w:r>
        <w:rPr>
          <w:color w:val="000000"/>
          <w:lang w:val="en-GB"/>
        </w:rPr>
        <w:t>during the</w:t>
      </w:r>
      <w:r w:rsidRPr="00BA6C5E">
        <w:rPr>
          <w:color w:val="000000"/>
          <w:lang w:val="en-GB"/>
        </w:rPr>
        <w:t xml:space="preserve"> first lectures </w:t>
      </w:r>
      <w:r>
        <w:rPr>
          <w:color w:val="000000"/>
          <w:lang w:val="en-GB"/>
        </w:rPr>
        <w:t>of</w:t>
      </w:r>
      <w:r w:rsidRPr="00BA6C5E">
        <w:rPr>
          <w:color w:val="000000"/>
          <w:lang w:val="en-GB"/>
        </w:rPr>
        <w:t xml:space="preserve"> each subject. The structure of assessment point is given in SA (p. 32): </w:t>
      </w:r>
    </w:p>
    <w:p w:rsidR="008F519B" w:rsidRPr="00BA6C5E" w:rsidRDefault="008F519B" w:rsidP="002934A9">
      <w:pPr>
        <w:numPr>
          <w:ilvl w:val="0"/>
          <w:numId w:val="5"/>
        </w:numPr>
        <w:spacing w:line="240" w:lineRule="auto"/>
        <w:rPr>
          <w:i/>
          <w:lang w:val="en-GB"/>
        </w:rPr>
      </w:pPr>
      <w:r w:rsidRPr="00BA6C5E">
        <w:rPr>
          <w:i/>
          <w:lang w:val="en-GB"/>
        </w:rPr>
        <w:t xml:space="preserve">Summative mark (SM): academic activity during contact classes (20% of final evaluation), completed self-dependent assignments, acquired knowledge and abilities (80% of final evaluation). A summative mark is an aggregate of components that evaluate students’ knowledge and abilities in separate parts of the study </w:t>
      </w:r>
      <w:r>
        <w:rPr>
          <w:i/>
          <w:lang w:val="en-GB"/>
        </w:rPr>
        <w:t>program</w:t>
      </w:r>
      <w:r w:rsidRPr="00BA6C5E">
        <w:rPr>
          <w:i/>
          <w:lang w:val="en-GB"/>
        </w:rPr>
        <w:t>. The final mark is derived adding evaluation results of all the parts of the study subject, considering the number of credits allotted to them. Summative mark is written prior to the examination session;</w:t>
      </w:r>
    </w:p>
    <w:p w:rsidR="008F519B" w:rsidRPr="00BA6C5E" w:rsidRDefault="008F519B" w:rsidP="002934A9">
      <w:pPr>
        <w:numPr>
          <w:ilvl w:val="0"/>
          <w:numId w:val="5"/>
        </w:numPr>
        <w:spacing w:line="240" w:lineRule="auto"/>
        <w:rPr>
          <w:i/>
          <w:color w:val="000000"/>
          <w:lang w:val="en-GB"/>
        </w:rPr>
      </w:pPr>
      <w:r w:rsidRPr="00BA6C5E">
        <w:rPr>
          <w:i/>
          <w:lang w:val="en-GB"/>
        </w:rPr>
        <w:t xml:space="preserve">Examination (E): academic activity during contact classes (20% of final evaluation), completed self-dependent assignments, acquired knowledge and abilities (30% of final evaluation), examination (not </w:t>
      </w:r>
      <w:r w:rsidRPr="00BA6C5E">
        <w:rPr>
          <w:i/>
          <w:color w:val="000000"/>
          <w:lang w:val="en-GB"/>
        </w:rPr>
        <w:t>less than 50% of summative evaluation). Examination is taken during the session.</w:t>
      </w:r>
    </w:p>
    <w:p w:rsidR="008F519B" w:rsidRPr="00BA6C5E" w:rsidRDefault="008F519B" w:rsidP="00FB52E6">
      <w:pPr>
        <w:numPr>
          <w:ilvl w:val="8"/>
          <w:numId w:val="1"/>
        </w:numPr>
        <w:spacing w:line="240" w:lineRule="auto"/>
        <w:ind w:firstLine="360"/>
        <w:rPr>
          <w:color w:val="000000"/>
          <w:lang w:val="en-GB"/>
        </w:rPr>
      </w:pPr>
    </w:p>
    <w:p w:rsidR="008F519B" w:rsidRPr="00BA6C5E" w:rsidRDefault="008F519B" w:rsidP="00B97F2F">
      <w:pPr>
        <w:spacing w:line="240" w:lineRule="auto"/>
        <w:rPr>
          <w:color w:val="000000"/>
          <w:lang w:val="en-GB"/>
        </w:rPr>
      </w:pPr>
      <w:r w:rsidRPr="00BA6C5E">
        <w:rPr>
          <w:color w:val="000000"/>
          <w:lang w:val="en-GB"/>
        </w:rPr>
        <w:t xml:space="preserve">5.4.2. </w:t>
      </w:r>
      <w:r w:rsidRPr="00BA6C5E">
        <w:rPr>
          <w:i/>
          <w:color w:val="000000"/>
          <w:lang w:val="en-GB"/>
        </w:rPr>
        <w:t>Feedback efficiency</w:t>
      </w:r>
    </w:p>
    <w:p w:rsidR="008F519B" w:rsidRPr="00BA6C5E" w:rsidRDefault="008F519B" w:rsidP="00B97F2F">
      <w:pPr>
        <w:spacing w:line="240" w:lineRule="auto"/>
        <w:rPr>
          <w:color w:val="000000"/>
          <w:lang w:val="en-GB"/>
        </w:rPr>
      </w:pPr>
      <w:r w:rsidRPr="00BA6C5E">
        <w:rPr>
          <w:color w:val="000000"/>
          <w:lang w:val="en-GB"/>
        </w:rPr>
        <w:t xml:space="preserve">As mentioned in </w:t>
      </w:r>
      <w:r>
        <w:rPr>
          <w:color w:val="000000"/>
          <w:lang w:val="en-GB"/>
        </w:rPr>
        <w:t xml:space="preserve">the </w:t>
      </w:r>
      <w:r w:rsidRPr="00BA6C5E">
        <w:rPr>
          <w:color w:val="000000"/>
          <w:lang w:val="en-GB"/>
        </w:rPr>
        <w:t xml:space="preserve">SA (p. 32), </w:t>
      </w:r>
      <w:r w:rsidRPr="00BA6C5E">
        <w:rPr>
          <w:i/>
          <w:color w:val="000000"/>
          <w:lang w:val="en-GB"/>
        </w:rPr>
        <w:t>feedback on students’ achievements is maintained continuously during contact classes (seminars, lectures, practical classes) providing students with verbal comments and surveys conducted purposefully. Students are familiarised with evaluations (summative marks); written and verbal feedback is after students complete self-dependent assignments, music projects and course papers. Not only students’ achievements are announced publicly, but typical mistakes, inaccuracies and reasons for their occurrence are discussed including ways of their elimination.</w:t>
      </w:r>
      <w:r>
        <w:rPr>
          <w:color w:val="000000"/>
          <w:lang w:val="en-GB"/>
        </w:rPr>
        <w:t xml:space="preserve"> The visiting experts find this</w:t>
      </w:r>
      <w:r w:rsidRPr="00BA6C5E">
        <w:rPr>
          <w:color w:val="000000"/>
          <w:lang w:val="en-GB"/>
        </w:rPr>
        <w:t xml:space="preserve"> </w:t>
      </w:r>
      <w:r>
        <w:rPr>
          <w:color w:val="000000"/>
          <w:lang w:val="en-GB"/>
        </w:rPr>
        <w:t xml:space="preserve">evaluation </w:t>
      </w:r>
      <w:r w:rsidRPr="00BA6C5E">
        <w:rPr>
          <w:color w:val="000000"/>
          <w:lang w:val="en-GB"/>
        </w:rPr>
        <w:t xml:space="preserve">system </w:t>
      </w:r>
      <w:r>
        <w:rPr>
          <w:color w:val="000000"/>
          <w:lang w:val="en-GB"/>
        </w:rPr>
        <w:t>efficient and having</w:t>
      </w:r>
      <w:r w:rsidRPr="00BA6C5E">
        <w:rPr>
          <w:color w:val="000000"/>
          <w:lang w:val="en-GB"/>
        </w:rPr>
        <w:t xml:space="preserve"> a positive influence </w:t>
      </w:r>
      <w:r>
        <w:rPr>
          <w:color w:val="000000"/>
          <w:lang w:val="en-GB"/>
        </w:rPr>
        <w:t>on the</w:t>
      </w:r>
      <w:r w:rsidRPr="00BA6C5E">
        <w:rPr>
          <w:color w:val="000000"/>
          <w:lang w:val="en-GB"/>
        </w:rPr>
        <w:t xml:space="preserve"> study quality.</w:t>
      </w:r>
    </w:p>
    <w:p w:rsidR="008F519B" w:rsidRPr="00BA6C5E" w:rsidRDefault="008F519B" w:rsidP="00FB52E6">
      <w:pPr>
        <w:numPr>
          <w:ilvl w:val="8"/>
          <w:numId w:val="1"/>
        </w:numPr>
        <w:spacing w:line="240" w:lineRule="auto"/>
        <w:ind w:firstLine="360"/>
        <w:rPr>
          <w:color w:val="000000"/>
          <w:lang w:val="en-GB"/>
        </w:rPr>
      </w:pPr>
    </w:p>
    <w:p w:rsidR="008F519B" w:rsidRPr="00BA6C5E" w:rsidRDefault="008F519B" w:rsidP="00B97F2F">
      <w:pPr>
        <w:spacing w:line="240" w:lineRule="auto"/>
        <w:rPr>
          <w:color w:val="000000"/>
          <w:lang w:val="en-GB"/>
        </w:rPr>
      </w:pPr>
      <w:r w:rsidRPr="00BA6C5E">
        <w:rPr>
          <w:color w:val="000000"/>
          <w:lang w:val="en-GB"/>
        </w:rPr>
        <w:t xml:space="preserve">5.4.3. </w:t>
      </w:r>
      <w:r w:rsidRPr="00BA6C5E">
        <w:rPr>
          <w:i/>
          <w:lang w:val="en-GB"/>
        </w:rPr>
        <w:t>Efficiency of final thesis assessment</w:t>
      </w:r>
    </w:p>
    <w:p w:rsidR="008F519B" w:rsidRPr="00BA6C5E" w:rsidRDefault="008F519B" w:rsidP="00B97F2F">
      <w:pPr>
        <w:spacing w:line="240" w:lineRule="auto"/>
        <w:rPr>
          <w:color w:val="000000"/>
          <w:lang w:val="en-GB"/>
        </w:rPr>
      </w:pPr>
      <w:r w:rsidRPr="00BA6C5E">
        <w:rPr>
          <w:color w:val="000000"/>
          <w:lang w:val="en-GB"/>
        </w:rPr>
        <w:t xml:space="preserve">The final theses are defended publicly in </w:t>
      </w:r>
      <w:r>
        <w:rPr>
          <w:color w:val="000000"/>
          <w:lang w:val="en-GB"/>
        </w:rPr>
        <w:t xml:space="preserve">front of </w:t>
      </w:r>
      <w:r w:rsidRPr="00BA6C5E">
        <w:rPr>
          <w:color w:val="000000"/>
          <w:lang w:val="en-GB"/>
        </w:rPr>
        <w:t xml:space="preserve">the Commission of Bachelor Papers approved by the Rector. The defence is open to the academic community. The </w:t>
      </w:r>
      <w:r>
        <w:rPr>
          <w:color w:val="000000"/>
          <w:lang w:val="en-GB"/>
        </w:rPr>
        <w:t>assessment takes into account the quality of the conducted work as well as defence</w:t>
      </w:r>
      <w:r w:rsidRPr="00BA6C5E">
        <w:rPr>
          <w:color w:val="000000"/>
          <w:lang w:val="en-GB"/>
        </w:rPr>
        <w:t xml:space="preserve">. </w:t>
      </w:r>
      <w:r>
        <w:rPr>
          <w:color w:val="000000"/>
          <w:lang w:val="en-GB"/>
        </w:rPr>
        <w:t>The visiting experts note</w:t>
      </w:r>
      <w:r w:rsidRPr="00BA6C5E">
        <w:rPr>
          <w:color w:val="000000"/>
          <w:lang w:val="en-GB"/>
        </w:rPr>
        <w:t xml:space="preserve"> that the final theses are evaluated with high and very high marks. </w:t>
      </w:r>
      <w:r>
        <w:rPr>
          <w:color w:val="000000"/>
          <w:lang w:val="en-GB"/>
        </w:rPr>
        <w:t>This can be seen</w:t>
      </w:r>
      <w:r w:rsidRPr="00BA6C5E">
        <w:rPr>
          <w:color w:val="000000"/>
          <w:lang w:val="en-GB"/>
        </w:rPr>
        <w:t xml:space="preserve"> as </w:t>
      </w:r>
      <w:r>
        <w:rPr>
          <w:color w:val="000000"/>
          <w:lang w:val="en-GB"/>
        </w:rPr>
        <w:t>the</w:t>
      </w:r>
      <w:r w:rsidRPr="00BA6C5E">
        <w:rPr>
          <w:color w:val="000000"/>
          <w:lang w:val="en-GB"/>
        </w:rPr>
        <w:t xml:space="preserve"> result of </w:t>
      </w:r>
      <w:r>
        <w:rPr>
          <w:color w:val="000000"/>
          <w:lang w:val="en-GB"/>
        </w:rPr>
        <w:t xml:space="preserve">a </w:t>
      </w:r>
      <w:r w:rsidRPr="00BA6C5E">
        <w:rPr>
          <w:color w:val="000000"/>
          <w:lang w:val="en-GB"/>
        </w:rPr>
        <w:t xml:space="preserve">well organized </w:t>
      </w:r>
      <w:r>
        <w:rPr>
          <w:color w:val="000000"/>
          <w:lang w:val="en-GB"/>
        </w:rPr>
        <w:t>over</w:t>
      </w:r>
      <w:r w:rsidRPr="00BA6C5E">
        <w:rPr>
          <w:color w:val="000000"/>
          <w:lang w:val="en-GB"/>
        </w:rPr>
        <w:t xml:space="preserve">all study system and </w:t>
      </w:r>
      <w:r>
        <w:rPr>
          <w:color w:val="000000"/>
          <w:lang w:val="en-GB"/>
        </w:rPr>
        <w:t>good students’ motivation</w:t>
      </w:r>
      <w:r w:rsidRPr="00BA6C5E">
        <w:rPr>
          <w:color w:val="000000"/>
          <w:lang w:val="en-GB"/>
        </w:rPr>
        <w:t xml:space="preserve">. </w:t>
      </w:r>
    </w:p>
    <w:p w:rsidR="008F519B" w:rsidRPr="00BA6C5E" w:rsidRDefault="008F519B" w:rsidP="00FB52E6">
      <w:pPr>
        <w:numPr>
          <w:ilvl w:val="8"/>
          <w:numId w:val="1"/>
        </w:numPr>
        <w:spacing w:line="240" w:lineRule="auto"/>
        <w:ind w:firstLine="360"/>
        <w:rPr>
          <w:color w:val="000000"/>
          <w:lang w:val="en-GB"/>
        </w:rPr>
      </w:pPr>
    </w:p>
    <w:p w:rsidR="008F519B" w:rsidRPr="00BA6C5E" w:rsidRDefault="008F519B" w:rsidP="003B1B01">
      <w:pPr>
        <w:spacing w:line="240" w:lineRule="auto"/>
        <w:rPr>
          <w:color w:val="000000"/>
          <w:lang w:val="en-GB"/>
        </w:rPr>
      </w:pPr>
      <w:r w:rsidRPr="00BA6C5E">
        <w:rPr>
          <w:color w:val="000000"/>
          <w:lang w:val="en-GB"/>
        </w:rPr>
        <w:t>5.4.4.</w:t>
      </w:r>
      <w:r w:rsidRPr="00BA6C5E">
        <w:rPr>
          <w:i/>
          <w:lang w:val="en-GB"/>
        </w:rPr>
        <w:t xml:space="preserve"> Functionality of the system for assessment and recognition of achievements acquired in non-formal and self-education</w:t>
      </w:r>
    </w:p>
    <w:p w:rsidR="008F519B" w:rsidRPr="001F1D28" w:rsidRDefault="008F519B" w:rsidP="00654B29">
      <w:pPr>
        <w:spacing w:line="240" w:lineRule="auto"/>
        <w:rPr>
          <w:color w:val="000000"/>
          <w:lang w:val="en-GB"/>
        </w:rPr>
      </w:pPr>
      <w:r w:rsidRPr="00BA6C5E">
        <w:rPr>
          <w:lang w:val="en-GB"/>
        </w:rPr>
        <w:t xml:space="preserve">Although there is not </w:t>
      </w:r>
      <w:r>
        <w:rPr>
          <w:lang w:val="en-GB"/>
        </w:rPr>
        <w:t xml:space="preserve">a </w:t>
      </w:r>
      <w:r w:rsidRPr="00BA6C5E">
        <w:rPr>
          <w:lang w:val="en-GB"/>
        </w:rPr>
        <w:t>formalized</w:t>
      </w:r>
      <w:r>
        <w:rPr>
          <w:lang w:val="en-GB"/>
        </w:rPr>
        <w:t xml:space="preserve"> s</w:t>
      </w:r>
      <w:r w:rsidRPr="00BA6C5E">
        <w:rPr>
          <w:lang w:val="en-GB"/>
        </w:rPr>
        <w:t xml:space="preserve">ystem for assessment and recognition of achievements acquired in non-formal and self-education the visiting experts found enough possibilities for individuals to achieve sufficient level of knowledge and to pass necessary course after self-education. The methods used for assessment of self-education mentioned in SA (self- analysis, reflection, discussion, observation) are positive and useful (SA, p. 33). </w:t>
      </w:r>
      <w:r w:rsidRPr="009B7B3B">
        <w:rPr>
          <w:color w:val="000000"/>
          <w:lang w:val="en-GB"/>
        </w:rPr>
        <w:t xml:space="preserve">Due to the fast social and academic changes and to the mobility growth, one can assume this process is going to increase in a significant way during the next years. The experts commission therefore recommends the </w:t>
      </w:r>
      <w:r>
        <w:rPr>
          <w:color w:val="000000"/>
          <w:lang w:val="en-GB"/>
        </w:rPr>
        <w:t>VPU</w:t>
      </w:r>
      <w:r w:rsidRPr="009B7B3B">
        <w:rPr>
          <w:color w:val="000000"/>
          <w:lang w:val="en-GB"/>
        </w:rPr>
        <w:t xml:space="preserve"> to be fair and cautious in the administration of this process which is based primarily on the evaluation of docume</w:t>
      </w:r>
      <w:r>
        <w:rPr>
          <w:color w:val="000000"/>
          <w:lang w:val="en-GB"/>
        </w:rPr>
        <w:t>nts (see recommendation III.3.4</w:t>
      </w:r>
      <w:r w:rsidRPr="009B7B3B">
        <w:rPr>
          <w:color w:val="000000"/>
          <w:lang w:val="en-GB"/>
        </w:rPr>
        <w:t>).</w:t>
      </w:r>
    </w:p>
    <w:p w:rsidR="008F519B" w:rsidRPr="00BA6C5E" w:rsidRDefault="008F519B" w:rsidP="00174068">
      <w:pPr>
        <w:pStyle w:val="Heading3"/>
      </w:pPr>
      <w:bookmarkStart w:id="41" w:name="_5.5._Graduates_placement"/>
      <w:bookmarkStart w:id="42" w:name="_Toc278293015"/>
      <w:bookmarkEnd w:id="41"/>
      <w:r w:rsidRPr="00BA6C5E">
        <w:t>5.5. Graduates placement</w:t>
      </w:r>
      <w:bookmarkEnd w:id="42"/>
    </w:p>
    <w:p w:rsidR="008F519B" w:rsidRDefault="008F519B" w:rsidP="003B1B01">
      <w:pPr>
        <w:spacing w:line="240" w:lineRule="auto"/>
        <w:rPr>
          <w:color w:val="000000"/>
          <w:lang w:val="en-GB"/>
        </w:rPr>
      </w:pPr>
      <w:r w:rsidRPr="00BA6C5E">
        <w:rPr>
          <w:color w:val="000000"/>
          <w:lang w:val="en-GB"/>
        </w:rPr>
        <w:t>5.5.1.</w:t>
      </w:r>
      <w:r w:rsidRPr="00BA6C5E">
        <w:rPr>
          <w:i/>
          <w:lang w:val="en-GB"/>
        </w:rPr>
        <w:t xml:space="preserve"> Expediency of graduate placement  </w:t>
      </w:r>
    </w:p>
    <w:p w:rsidR="008F519B" w:rsidRDefault="008F519B" w:rsidP="003B1B01">
      <w:pPr>
        <w:spacing w:line="240" w:lineRule="auto"/>
        <w:rPr>
          <w:color w:val="000000"/>
          <w:lang w:val="en-GB"/>
        </w:rPr>
      </w:pPr>
      <w:r w:rsidRPr="00BA6C5E">
        <w:rPr>
          <w:color w:val="000000"/>
          <w:lang w:val="en-GB"/>
        </w:rPr>
        <w:t xml:space="preserve">According to </w:t>
      </w:r>
      <w:r>
        <w:rPr>
          <w:color w:val="000000"/>
          <w:lang w:val="en-GB"/>
        </w:rPr>
        <w:t xml:space="preserve">the </w:t>
      </w:r>
      <w:r w:rsidRPr="00BA6C5E">
        <w:rPr>
          <w:color w:val="000000"/>
          <w:lang w:val="en-GB"/>
        </w:rPr>
        <w:t>SA</w:t>
      </w:r>
      <w:r>
        <w:rPr>
          <w:color w:val="000000"/>
          <w:lang w:val="en-GB"/>
        </w:rPr>
        <w:t>,</w:t>
      </w:r>
      <w:r w:rsidRPr="00BA6C5E">
        <w:rPr>
          <w:color w:val="000000"/>
          <w:lang w:val="en-GB"/>
        </w:rPr>
        <w:t xml:space="preserve"> 61,5% of graduates got jobs in formal and non-formal music education institutions and 28,8% of graduates work in general education schools. So 91,3% graduates are placed in positions related to their education and training. It is very high level of employment and </w:t>
      </w:r>
      <w:r>
        <w:rPr>
          <w:color w:val="000000"/>
          <w:lang w:val="en-GB"/>
        </w:rPr>
        <w:t xml:space="preserve">it </w:t>
      </w:r>
      <w:r w:rsidRPr="00BA6C5E">
        <w:rPr>
          <w:color w:val="000000"/>
          <w:lang w:val="en-GB"/>
        </w:rPr>
        <w:t xml:space="preserve">speaks for the efficiency of the </w:t>
      </w:r>
      <w:r>
        <w:rPr>
          <w:color w:val="000000"/>
          <w:lang w:val="en-GB"/>
        </w:rPr>
        <w:t>program</w:t>
      </w:r>
      <w:r w:rsidRPr="00BA6C5E">
        <w:rPr>
          <w:color w:val="000000"/>
          <w:lang w:val="en-GB"/>
        </w:rPr>
        <w:t xml:space="preserve"> in term of employability. The main reasons for unemployment </w:t>
      </w:r>
      <w:r>
        <w:rPr>
          <w:color w:val="000000"/>
          <w:lang w:val="en-GB"/>
        </w:rPr>
        <w:t>are related to the</w:t>
      </w:r>
      <w:r w:rsidRPr="00BA6C5E">
        <w:rPr>
          <w:color w:val="000000"/>
          <w:lang w:val="en-GB"/>
        </w:rPr>
        <w:t xml:space="preserve"> general socio-economic situation in the country and</w:t>
      </w:r>
      <w:r>
        <w:rPr>
          <w:color w:val="000000"/>
          <w:lang w:val="en-GB"/>
        </w:rPr>
        <w:t xml:space="preserve"> have nothing to do with the</w:t>
      </w:r>
      <w:r w:rsidRPr="00BA6C5E">
        <w:rPr>
          <w:color w:val="000000"/>
          <w:lang w:val="en-GB"/>
        </w:rPr>
        <w:t xml:space="preserve"> university – low salary, relatively low status of the profession in the society. </w:t>
      </w:r>
    </w:p>
    <w:p w:rsidR="008F519B" w:rsidRDefault="008F519B" w:rsidP="003B1B01">
      <w:pPr>
        <w:spacing w:line="240" w:lineRule="auto"/>
        <w:rPr>
          <w:color w:val="000000"/>
          <w:lang w:val="en-GB"/>
        </w:rPr>
      </w:pPr>
    </w:p>
    <w:p w:rsidR="008F519B" w:rsidRPr="00BA6C5E" w:rsidRDefault="008F519B" w:rsidP="008459A5">
      <w:pPr>
        <w:pStyle w:val="Heading2"/>
        <w:spacing w:line="240" w:lineRule="auto"/>
      </w:pPr>
      <w:bookmarkStart w:id="43" w:name="_6._Programme_management"/>
      <w:bookmarkStart w:id="44" w:name="_Toc278293016"/>
      <w:bookmarkEnd w:id="43"/>
      <w:r w:rsidRPr="00BA6C5E">
        <w:t xml:space="preserve">6. </w:t>
      </w:r>
      <w:r>
        <w:t>Program</w:t>
      </w:r>
      <w:r w:rsidRPr="00BA6C5E">
        <w:t xml:space="preserve"> management</w:t>
      </w:r>
      <w:bookmarkEnd w:id="44"/>
      <w:r w:rsidRPr="00BA6C5E">
        <w:t xml:space="preserve"> </w:t>
      </w:r>
    </w:p>
    <w:p w:rsidR="008F519B" w:rsidRDefault="008F519B" w:rsidP="008459A5">
      <w:pPr>
        <w:pStyle w:val="Heading3"/>
        <w:spacing w:line="240" w:lineRule="auto"/>
      </w:pPr>
      <w:bookmarkStart w:id="45" w:name="_6.1._Programme_administration"/>
      <w:bookmarkStart w:id="46" w:name="_Toc278293017"/>
      <w:bookmarkEnd w:id="45"/>
      <w:r w:rsidRPr="00BA6C5E">
        <w:t xml:space="preserve">6.1. </w:t>
      </w:r>
      <w:r>
        <w:t>Program</w:t>
      </w:r>
      <w:r w:rsidRPr="00BA6C5E">
        <w:t xml:space="preserve"> administration</w:t>
      </w:r>
      <w:bookmarkEnd w:id="46"/>
    </w:p>
    <w:p w:rsidR="008F519B" w:rsidRPr="00EB08F8" w:rsidRDefault="008F519B" w:rsidP="00EB08F8">
      <w:pPr>
        <w:rPr>
          <w:lang w:val="en-GB"/>
        </w:rPr>
      </w:pPr>
    </w:p>
    <w:p w:rsidR="008F519B" w:rsidRDefault="008F519B" w:rsidP="003B1B01">
      <w:pPr>
        <w:spacing w:line="240" w:lineRule="auto"/>
        <w:rPr>
          <w:color w:val="000000"/>
          <w:lang w:val="en-GB"/>
        </w:rPr>
      </w:pPr>
      <w:r w:rsidRPr="00BA6C5E">
        <w:rPr>
          <w:color w:val="000000"/>
          <w:lang w:val="en-GB"/>
        </w:rPr>
        <w:t>6.1.1.</w:t>
      </w:r>
      <w:r w:rsidRPr="00BA6C5E">
        <w:rPr>
          <w:i/>
          <w:lang w:val="en-GB"/>
        </w:rPr>
        <w:t xml:space="preserve"> Efficiency of the </w:t>
      </w:r>
      <w:r>
        <w:rPr>
          <w:i/>
          <w:lang w:val="en-GB"/>
        </w:rPr>
        <w:t>program</w:t>
      </w:r>
      <w:r w:rsidRPr="00BA6C5E">
        <w:rPr>
          <w:i/>
          <w:lang w:val="en-GB"/>
        </w:rPr>
        <w:t xml:space="preserve"> management activities</w:t>
      </w:r>
    </w:p>
    <w:p w:rsidR="008F519B" w:rsidRPr="00BA6C5E" w:rsidRDefault="008F519B" w:rsidP="003B1B01">
      <w:pPr>
        <w:spacing w:line="240" w:lineRule="auto"/>
        <w:rPr>
          <w:color w:val="000000"/>
          <w:lang w:val="en-GB"/>
        </w:rPr>
      </w:pPr>
      <w:r w:rsidRPr="00BA6C5E">
        <w:rPr>
          <w:color w:val="000000"/>
          <w:lang w:val="en-GB"/>
        </w:rPr>
        <w:t xml:space="preserve">The visiting experts found the </w:t>
      </w:r>
      <w:r>
        <w:rPr>
          <w:color w:val="000000"/>
          <w:lang w:val="en-GB"/>
        </w:rPr>
        <w:t>program</w:t>
      </w:r>
      <w:r w:rsidRPr="00BA6C5E">
        <w:rPr>
          <w:color w:val="000000"/>
          <w:lang w:val="en-GB"/>
        </w:rPr>
        <w:t xml:space="preserve"> management efficient. According the SA (p. 34-35)</w:t>
      </w:r>
      <w:r>
        <w:rPr>
          <w:color w:val="000000"/>
          <w:lang w:val="en-GB"/>
        </w:rPr>
        <w:t>,</w:t>
      </w:r>
      <w:r w:rsidRPr="00BA6C5E">
        <w:rPr>
          <w:color w:val="000000"/>
          <w:lang w:val="en-GB"/>
        </w:rPr>
        <w:t xml:space="preserve"> </w:t>
      </w:r>
      <w:r w:rsidRPr="00BA6C5E">
        <w:rPr>
          <w:i/>
          <w:color w:val="000000"/>
          <w:lang w:val="en-GB"/>
        </w:rPr>
        <w:t xml:space="preserve">the quality of the study </w:t>
      </w:r>
      <w:r>
        <w:rPr>
          <w:i/>
          <w:color w:val="000000"/>
          <w:lang w:val="en-GB"/>
        </w:rPr>
        <w:t>program</w:t>
      </w:r>
      <w:r w:rsidRPr="00BA6C5E">
        <w:rPr>
          <w:i/>
          <w:color w:val="000000"/>
          <w:lang w:val="en-GB"/>
        </w:rPr>
        <w:t xml:space="preserve"> is ensured by the Department of Music and the Committee of the </w:t>
      </w:r>
      <w:r>
        <w:rPr>
          <w:i/>
          <w:color w:val="000000"/>
          <w:lang w:val="en-GB"/>
        </w:rPr>
        <w:t>program</w:t>
      </w:r>
      <w:r w:rsidRPr="00BA6C5E">
        <w:rPr>
          <w:i/>
          <w:color w:val="000000"/>
          <w:lang w:val="en-GB"/>
        </w:rPr>
        <w:t xml:space="preserve">. Committee is collected from staff of a department, social partners and students. This organization let to control main stream of a </w:t>
      </w:r>
      <w:r>
        <w:rPr>
          <w:i/>
          <w:color w:val="000000"/>
          <w:lang w:val="en-GB"/>
        </w:rPr>
        <w:t>program</w:t>
      </w:r>
      <w:r w:rsidRPr="00BA6C5E">
        <w:rPr>
          <w:i/>
          <w:color w:val="000000"/>
          <w:lang w:val="en-GB"/>
        </w:rPr>
        <w:t xml:space="preserve"> to declare all necessary suggestions in time and to correct all study </w:t>
      </w:r>
      <w:r>
        <w:rPr>
          <w:i/>
          <w:color w:val="000000"/>
          <w:lang w:val="en-GB"/>
        </w:rPr>
        <w:t>program</w:t>
      </w:r>
      <w:r w:rsidRPr="00BA6C5E">
        <w:rPr>
          <w:i/>
          <w:color w:val="000000"/>
          <w:lang w:val="en-GB"/>
        </w:rPr>
        <w:t xml:space="preserve">. The head of the study </w:t>
      </w:r>
      <w:r>
        <w:rPr>
          <w:i/>
          <w:color w:val="000000"/>
          <w:lang w:val="en-GB"/>
        </w:rPr>
        <w:t>program</w:t>
      </w:r>
      <w:r w:rsidRPr="00BA6C5E">
        <w:rPr>
          <w:i/>
          <w:color w:val="000000"/>
          <w:lang w:val="en-GB"/>
        </w:rPr>
        <w:t xml:space="preserve"> constantly takes care of the quality of the coordinated study </w:t>
      </w:r>
      <w:r>
        <w:rPr>
          <w:i/>
          <w:color w:val="000000"/>
          <w:lang w:val="en-GB"/>
        </w:rPr>
        <w:t>program</w:t>
      </w:r>
      <w:r w:rsidRPr="00BA6C5E">
        <w:rPr>
          <w:i/>
          <w:color w:val="000000"/>
          <w:lang w:val="en-GB"/>
        </w:rPr>
        <w:t>. Teachers are also encouraged to self-evaluate the quality of teaching, they are provided with possibilities to assume personal responsibility improving the content of the taught study subjects, choosing literature, forms, methods of study organisation, defining evaluation criteria.</w:t>
      </w:r>
      <w:r w:rsidRPr="00BA6C5E">
        <w:rPr>
          <w:color w:val="000000"/>
          <w:lang w:val="en-GB"/>
        </w:rPr>
        <w:t xml:space="preserve"> The Department meetings are also efficient and </w:t>
      </w:r>
      <w:r>
        <w:rPr>
          <w:color w:val="000000"/>
          <w:lang w:val="en-GB"/>
        </w:rPr>
        <w:t>allow a careful program monitoring.</w:t>
      </w:r>
      <w:r w:rsidRPr="00BA6C5E">
        <w:rPr>
          <w:color w:val="000000"/>
          <w:lang w:val="en-GB"/>
        </w:rPr>
        <w:t xml:space="preserve"> The </w:t>
      </w:r>
      <w:r>
        <w:rPr>
          <w:color w:val="000000"/>
          <w:lang w:val="en-GB"/>
        </w:rPr>
        <w:t>i</w:t>
      </w:r>
      <w:r w:rsidRPr="00BA6C5E">
        <w:rPr>
          <w:color w:val="000000"/>
          <w:lang w:val="en-GB"/>
        </w:rPr>
        <w:t xml:space="preserve">nformation base of the </w:t>
      </w:r>
      <w:r>
        <w:rPr>
          <w:color w:val="000000"/>
          <w:lang w:val="en-GB"/>
        </w:rPr>
        <w:t>program</w:t>
      </w:r>
      <w:r w:rsidRPr="00BA6C5E">
        <w:rPr>
          <w:color w:val="000000"/>
          <w:lang w:val="en-GB"/>
        </w:rPr>
        <w:t xml:space="preserve"> is also collected </w:t>
      </w:r>
      <w:r>
        <w:rPr>
          <w:color w:val="000000"/>
          <w:lang w:val="en-GB"/>
        </w:rPr>
        <w:t>by the</w:t>
      </w:r>
      <w:r w:rsidRPr="00BA6C5E">
        <w:rPr>
          <w:color w:val="000000"/>
          <w:lang w:val="en-GB"/>
        </w:rPr>
        <w:t xml:space="preserve"> Department for the better management of </w:t>
      </w:r>
      <w:r>
        <w:rPr>
          <w:color w:val="000000"/>
          <w:lang w:val="en-GB"/>
        </w:rPr>
        <w:t>the</w:t>
      </w:r>
      <w:r w:rsidRPr="00BA6C5E">
        <w:rPr>
          <w:color w:val="000000"/>
          <w:lang w:val="en-GB"/>
        </w:rPr>
        <w:t xml:space="preserve"> study process. </w:t>
      </w:r>
    </w:p>
    <w:p w:rsidR="008F519B" w:rsidRPr="00BA6C5E" w:rsidRDefault="008F519B" w:rsidP="00174068">
      <w:pPr>
        <w:pStyle w:val="Heading3"/>
      </w:pPr>
      <w:bookmarkStart w:id="47" w:name="_6.2._Internal_quality_assurance"/>
      <w:bookmarkStart w:id="48" w:name="_Toc278293018"/>
      <w:bookmarkEnd w:id="47"/>
      <w:r w:rsidRPr="00BA6C5E">
        <w:t>6.2. Internal quality assurance</w:t>
      </w:r>
      <w:bookmarkEnd w:id="48"/>
    </w:p>
    <w:p w:rsidR="008F519B" w:rsidRPr="00BA6C5E" w:rsidRDefault="008F519B" w:rsidP="003B1B01">
      <w:pPr>
        <w:spacing w:line="240" w:lineRule="auto"/>
        <w:rPr>
          <w:color w:val="000000"/>
          <w:lang w:val="en-GB"/>
        </w:rPr>
      </w:pPr>
      <w:r w:rsidRPr="00BA6C5E">
        <w:rPr>
          <w:lang w:val="en-GB"/>
        </w:rPr>
        <w:t>6.2.1.</w:t>
      </w:r>
      <w:r w:rsidRPr="00BA6C5E">
        <w:rPr>
          <w:i/>
          <w:lang w:val="en-GB"/>
        </w:rPr>
        <w:t xml:space="preserve"> Suitability of the </w:t>
      </w:r>
      <w:r>
        <w:rPr>
          <w:i/>
          <w:lang w:val="en-GB"/>
        </w:rPr>
        <w:t>program</w:t>
      </w:r>
      <w:r w:rsidRPr="00BA6C5E">
        <w:rPr>
          <w:i/>
          <w:lang w:val="en-GB"/>
        </w:rPr>
        <w:t xml:space="preserve"> quality evaluation</w:t>
      </w:r>
    </w:p>
    <w:p w:rsidR="008F519B" w:rsidRPr="00BA6C5E" w:rsidRDefault="008F519B" w:rsidP="000F4C28">
      <w:pPr>
        <w:spacing w:line="240" w:lineRule="auto"/>
        <w:rPr>
          <w:color w:val="000000"/>
          <w:lang w:val="en-GB"/>
        </w:rPr>
      </w:pPr>
      <w:r w:rsidRPr="00BA6C5E">
        <w:rPr>
          <w:color w:val="000000"/>
          <w:lang w:val="en-GB"/>
        </w:rPr>
        <w:t xml:space="preserve">As described in </w:t>
      </w:r>
      <w:r>
        <w:rPr>
          <w:color w:val="000000"/>
          <w:lang w:val="en-GB"/>
        </w:rPr>
        <w:t xml:space="preserve">the </w:t>
      </w:r>
      <w:r w:rsidRPr="00BA6C5E">
        <w:rPr>
          <w:color w:val="000000"/>
          <w:lang w:val="en-GB"/>
        </w:rPr>
        <w:t xml:space="preserve">SA (p. 35-36) </w:t>
      </w:r>
      <w:r>
        <w:rPr>
          <w:color w:val="000000"/>
          <w:lang w:val="en-GB"/>
        </w:rPr>
        <w:t>a system of quality evaluation i</w:t>
      </w:r>
      <w:r w:rsidRPr="00BA6C5E">
        <w:rPr>
          <w:color w:val="000000"/>
          <w:lang w:val="en-GB"/>
        </w:rPr>
        <w:t xml:space="preserve">s a continuous process including specific methods, evaluation parameters and dissemination of evaluation: </w:t>
      </w:r>
      <w:r w:rsidRPr="00BA6C5E">
        <w:rPr>
          <w:i/>
          <w:color w:val="000000"/>
          <w:lang w:val="en-GB"/>
        </w:rPr>
        <w:t xml:space="preserve">The evaluation of the quality of the </w:t>
      </w:r>
      <w:r>
        <w:rPr>
          <w:i/>
          <w:color w:val="000000"/>
          <w:lang w:val="en-GB"/>
        </w:rPr>
        <w:t>program</w:t>
      </w:r>
      <w:r w:rsidRPr="00BA6C5E">
        <w:rPr>
          <w:i/>
          <w:color w:val="000000"/>
          <w:lang w:val="en-GB"/>
        </w:rPr>
        <w:t xml:space="preserve"> is constantly received through students’ external and internal reactions to completed assignments, questions raised during individual consultations, their requests, academic progress and achievement, opinion surveys. At the end of the course the quality of the study </w:t>
      </w:r>
      <w:r>
        <w:rPr>
          <w:i/>
          <w:color w:val="000000"/>
          <w:lang w:val="en-GB"/>
        </w:rPr>
        <w:t>program</w:t>
      </w:r>
      <w:r w:rsidRPr="00BA6C5E">
        <w:rPr>
          <w:i/>
          <w:color w:val="000000"/>
          <w:lang w:val="en-GB"/>
        </w:rPr>
        <w:t xml:space="preserve"> is discussed in detail with teachers to enable them to consider the quality issue while planning the work the following academic year. The results of study quality assessment are used for improvement the study </w:t>
      </w:r>
      <w:r>
        <w:rPr>
          <w:i/>
          <w:color w:val="000000"/>
          <w:lang w:val="en-GB"/>
        </w:rPr>
        <w:t>program</w:t>
      </w:r>
      <w:r w:rsidRPr="00BA6C5E">
        <w:rPr>
          <w:i/>
          <w:color w:val="000000"/>
          <w:lang w:val="en-GB"/>
        </w:rPr>
        <w:t xml:space="preserve"> and study subjects, assessment of changes, revision of the plan for actions of study quality, initiation of changes in teachers’ research activities and professional development, improvement of facilities and learning resources of the Institute. </w:t>
      </w:r>
      <w:r w:rsidRPr="00BA6C5E">
        <w:rPr>
          <w:color w:val="000000"/>
          <w:lang w:val="en-GB"/>
        </w:rPr>
        <w:t>The visiting experts fe</w:t>
      </w:r>
      <w:r>
        <w:rPr>
          <w:color w:val="000000"/>
          <w:lang w:val="en-GB"/>
        </w:rPr>
        <w:t>el the system</w:t>
      </w:r>
      <w:r w:rsidRPr="00BA6C5E">
        <w:rPr>
          <w:color w:val="000000"/>
          <w:lang w:val="en-GB"/>
        </w:rPr>
        <w:t xml:space="preserve"> sufficient for ensur</w:t>
      </w:r>
      <w:r>
        <w:rPr>
          <w:color w:val="000000"/>
          <w:lang w:val="en-GB"/>
        </w:rPr>
        <w:t>ing</w:t>
      </w:r>
      <w:r w:rsidRPr="00BA6C5E">
        <w:rPr>
          <w:color w:val="000000"/>
          <w:lang w:val="en-GB"/>
        </w:rPr>
        <w:t xml:space="preserve"> the high </w:t>
      </w:r>
      <w:r>
        <w:rPr>
          <w:color w:val="000000"/>
          <w:lang w:val="en-GB"/>
        </w:rPr>
        <w:t xml:space="preserve">quality </w:t>
      </w:r>
      <w:r w:rsidRPr="00BA6C5E">
        <w:rPr>
          <w:color w:val="000000"/>
          <w:lang w:val="en-GB"/>
        </w:rPr>
        <w:t xml:space="preserve">level of </w:t>
      </w:r>
      <w:r>
        <w:rPr>
          <w:color w:val="000000"/>
          <w:lang w:val="en-GB"/>
        </w:rPr>
        <w:t>the</w:t>
      </w:r>
      <w:r w:rsidRPr="00BA6C5E">
        <w:rPr>
          <w:color w:val="000000"/>
          <w:lang w:val="en-GB"/>
        </w:rPr>
        <w:t xml:space="preserve"> </w:t>
      </w:r>
      <w:r>
        <w:rPr>
          <w:color w:val="000000"/>
          <w:lang w:val="en-GB"/>
        </w:rPr>
        <w:t>program</w:t>
      </w:r>
      <w:r w:rsidRPr="00BA6C5E">
        <w:rPr>
          <w:color w:val="000000"/>
          <w:lang w:val="en-GB"/>
        </w:rPr>
        <w:t>.</w:t>
      </w:r>
    </w:p>
    <w:p w:rsidR="008F519B" w:rsidRPr="00BA6C5E" w:rsidRDefault="008F519B" w:rsidP="000F4C28">
      <w:pPr>
        <w:numPr>
          <w:ilvl w:val="8"/>
          <w:numId w:val="1"/>
        </w:numPr>
        <w:spacing w:line="240" w:lineRule="auto"/>
        <w:ind w:firstLine="360"/>
        <w:rPr>
          <w:color w:val="000000"/>
          <w:lang w:val="en-GB"/>
        </w:rPr>
      </w:pPr>
    </w:p>
    <w:p w:rsidR="008F519B" w:rsidRPr="00BA6C5E" w:rsidRDefault="008F519B" w:rsidP="00F9556F">
      <w:pPr>
        <w:spacing w:line="240" w:lineRule="auto"/>
        <w:rPr>
          <w:color w:val="000000"/>
          <w:lang w:val="en-GB"/>
        </w:rPr>
      </w:pPr>
      <w:r w:rsidRPr="00BA6C5E">
        <w:rPr>
          <w:lang w:val="en-GB"/>
        </w:rPr>
        <w:t>6.</w:t>
      </w:r>
      <w:r w:rsidRPr="00BA6C5E">
        <w:rPr>
          <w:color w:val="000000"/>
          <w:lang w:val="en-GB"/>
        </w:rPr>
        <w:t xml:space="preserve">2.2. </w:t>
      </w:r>
      <w:r w:rsidRPr="00BA6C5E">
        <w:rPr>
          <w:i/>
          <w:color w:val="000000"/>
          <w:lang w:val="en-GB"/>
        </w:rPr>
        <w:t xml:space="preserve">Efficiency of the </w:t>
      </w:r>
      <w:r>
        <w:rPr>
          <w:i/>
          <w:color w:val="000000"/>
          <w:lang w:val="en-GB"/>
        </w:rPr>
        <w:t>program</w:t>
      </w:r>
      <w:r w:rsidRPr="00BA6C5E">
        <w:rPr>
          <w:i/>
          <w:color w:val="000000"/>
          <w:lang w:val="en-GB"/>
        </w:rPr>
        <w:t xml:space="preserve"> quality improvement</w:t>
      </w:r>
    </w:p>
    <w:p w:rsidR="008F519B" w:rsidRPr="00BA6C5E" w:rsidRDefault="008F519B" w:rsidP="00F9556F">
      <w:pPr>
        <w:spacing w:line="240" w:lineRule="auto"/>
        <w:rPr>
          <w:color w:val="000000"/>
          <w:lang w:val="en-GB"/>
        </w:rPr>
      </w:pPr>
      <w:r w:rsidRPr="00BA6C5E">
        <w:rPr>
          <w:color w:val="000000"/>
          <w:lang w:val="en-GB"/>
        </w:rPr>
        <w:t xml:space="preserve">The efficiency of the </w:t>
      </w:r>
      <w:r>
        <w:rPr>
          <w:color w:val="000000"/>
          <w:lang w:val="en-GB"/>
        </w:rPr>
        <w:t>program</w:t>
      </w:r>
      <w:r w:rsidRPr="00BA6C5E">
        <w:rPr>
          <w:color w:val="000000"/>
          <w:lang w:val="en-GB"/>
        </w:rPr>
        <w:t xml:space="preserve"> quality improvement is clear</w:t>
      </w:r>
      <w:r>
        <w:rPr>
          <w:color w:val="000000"/>
          <w:lang w:val="en-GB"/>
        </w:rPr>
        <w:t>ly</w:t>
      </w:r>
      <w:r w:rsidRPr="00BA6C5E">
        <w:rPr>
          <w:color w:val="000000"/>
          <w:lang w:val="en-GB"/>
        </w:rPr>
        <w:t xml:space="preserve"> described in </w:t>
      </w:r>
      <w:r>
        <w:rPr>
          <w:color w:val="000000"/>
          <w:lang w:val="en-GB"/>
        </w:rPr>
        <w:t xml:space="preserve">the </w:t>
      </w:r>
      <w:r w:rsidRPr="00BA6C5E">
        <w:rPr>
          <w:color w:val="000000"/>
          <w:lang w:val="en-GB"/>
        </w:rPr>
        <w:t>SA (p. 36) and</w:t>
      </w:r>
      <w:r>
        <w:rPr>
          <w:color w:val="000000"/>
          <w:lang w:val="en-GB"/>
        </w:rPr>
        <w:t xml:space="preserve"> was also</w:t>
      </w:r>
      <w:r w:rsidRPr="00BA6C5E">
        <w:rPr>
          <w:color w:val="000000"/>
          <w:lang w:val="en-GB"/>
        </w:rPr>
        <w:t xml:space="preserve"> explained during the site visit. The visiting experts found efficient the </w:t>
      </w:r>
      <w:r w:rsidRPr="00BA6C5E">
        <w:rPr>
          <w:i/>
          <w:color w:val="000000"/>
          <w:lang w:val="en-GB"/>
        </w:rPr>
        <w:t xml:space="preserve">students reaction to the quality of the study </w:t>
      </w:r>
      <w:r>
        <w:rPr>
          <w:i/>
          <w:color w:val="000000"/>
          <w:lang w:val="en-GB"/>
        </w:rPr>
        <w:t>program</w:t>
      </w:r>
      <w:r w:rsidRPr="00BA6C5E">
        <w:rPr>
          <w:i/>
          <w:color w:val="000000"/>
          <w:lang w:val="en-GB"/>
        </w:rPr>
        <w:t xml:space="preserve">, collaboration between the Department teachers and students, teaching practice, organisation of studies, preparation for professional activity. </w:t>
      </w:r>
      <w:r w:rsidRPr="00BA6C5E">
        <w:rPr>
          <w:color w:val="000000"/>
          <w:lang w:val="en-GB"/>
        </w:rPr>
        <w:t>As mentioned in SA,</w:t>
      </w:r>
      <w:r w:rsidRPr="00BA6C5E">
        <w:rPr>
          <w:i/>
          <w:color w:val="000000"/>
          <w:lang w:val="en-GB"/>
        </w:rPr>
        <w:t xml:space="preserve"> the authorities of the study </w:t>
      </w:r>
      <w:r>
        <w:rPr>
          <w:i/>
          <w:color w:val="000000"/>
          <w:lang w:val="en-GB"/>
        </w:rPr>
        <w:t>program</w:t>
      </w:r>
      <w:r w:rsidRPr="00BA6C5E">
        <w:rPr>
          <w:i/>
          <w:color w:val="000000"/>
          <w:lang w:val="en-GB"/>
        </w:rPr>
        <w:t xml:space="preserve"> obligate the teachers to individually monitor quality assurance, flexibly react to needs and situation of all the process participants. Employment of assessment results modelling courses, projecting new forms and methods of studies and assessment. Analysing the courses that bring the biggest/smallest satisfaction an attempt is made to identify reasons for such evaluation (possessed knowledge, experience, relations with teacher, teachers’ requirements, other circumstances) in order to use the strong sides or to reduce weaknesses.</w:t>
      </w:r>
      <w:r w:rsidRPr="00BA6C5E">
        <w:rPr>
          <w:color w:val="000000"/>
          <w:lang w:val="en-GB"/>
        </w:rPr>
        <w:t xml:space="preserve"> According to </w:t>
      </w:r>
      <w:r>
        <w:rPr>
          <w:color w:val="000000"/>
          <w:lang w:val="en-GB"/>
        </w:rPr>
        <w:t xml:space="preserve">the </w:t>
      </w:r>
      <w:r w:rsidRPr="00BA6C5E">
        <w:rPr>
          <w:color w:val="000000"/>
          <w:lang w:val="en-GB"/>
        </w:rPr>
        <w:t>student</w:t>
      </w:r>
      <w:r>
        <w:rPr>
          <w:color w:val="000000"/>
          <w:lang w:val="en-GB"/>
        </w:rPr>
        <w:t>s</w:t>
      </w:r>
      <w:r w:rsidRPr="00BA6C5E">
        <w:rPr>
          <w:color w:val="000000"/>
          <w:lang w:val="en-GB"/>
        </w:rPr>
        <w:t xml:space="preserve"> more alternative optional study subjects were introduced into </w:t>
      </w:r>
      <w:r>
        <w:rPr>
          <w:color w:val="000000"/>
          <w:lang w:val="en-GB"/>
        </w:rPr>
        <w:t>the</w:t>
      </w:r>
      <w:r w:rsidRPr="00BA6C5E">
        <w:rPr>
          <w:color w:val="000000"/>
          <w:lang w:val="en-GB"/>
        </w:rPr>
        <w:t xml:space="preserve"> </w:t>
      </w:r>
      <w:r>
        <w:rPr>
          <w:color w:val="000000"/>
          <w:lang w:val="en-GB"/>
        </w:rPr>
        <w:t>program</w:t>
      </w:r>
      <w:r w:rsidRPr="00BA6C5E">
        <w:rPr>
          <w:color w:val="000000"/>
          <w:lang w:val="en-GB"/>
        </w:rPr>
        <w:t xml:space="preserve">. </w:t>
      </w:r>
      <w:r>
        <w:rPr>
          <w:color w:val="000000"/>
          <w:lang w:val="en-GB"/>
        </w:rPr>
        <w:t>The p</w:t>
      </w:r>
      <w:r w:rsidRPr="00BA6C5E">
        <w:rPr>
          <w:color w:val="000000"/>
          <w:lang w:val="en-GB"/>
        </w:rPr>
        <w:t xml:space="preserve">articipation in a special project “Improvement of Educator Training Quality Renewing the Study </w:t>
      </w:r>
      <w:r>
        <w:rPr>
          <w:color w:val="000000"/>
          <w:lang w:val="en-GB"/>
        </w:rPr>
        <w:t>Program</w:t>
      </w:r>
      <w:r w:rsidRPr="00BA6C5E">
        <w:rPr>
          <w:color w:val="000000"/>
          <w:lang w:val="en-GB"/>
        </w:rPr>
        <w:t>s of First Level in Vilnius Pedagogical University”</w:t>
      </w:r>
      <w:r w:rsidRPr="00BA6C5E">
        <w:rPr>
          <w:color w:val="000000"/>
          <w:lang w:val="en-GB" w:eastAsia="lt-LT"/>
        </w:rPr>
        <w:t xml:space="preserve"> </w:t>
      </w:r>
      <w:r>
        <w:rPr>
          <w:color w:val="000000"/>
          <w:lang w:val="en-GB" w:eastAsia="lt-LT"/>
        </w:rPr>
        <w:t xml:space="preserve">also </w:t>
      </w:r>
      <w:r w:rsidRPr="00BA6C5E">
        <w:rPr>
          <w:color w:val="000000"/>
          <w:lang w:val="en-GB" w:eastAsia="lt-LT"/>
        </w:rPr>
        <w:t>acts very positive</w:t>
      </w:r>
      <w:r>
        <w:rPr>
          <w:color w:val="000000"/>
          <w:lang w:val="en-GB" w:eastAsia="lt-LT"/>
        </w:rPr>
        <w:t>ly</w:t>
      </w:r>
      <w:r w:rsidRPr="00BA6C5E">
        <w:rPr>
          <w:color w:val="000000"/>
          <w:lang w:val="en-GB" w:eastAsia="lt-LT"/>
        </w:rPr>
        <w:t xml:space="preserve"> </w:t>
      </w:r>
      <w:r>
        <w:rPr>
          <w:color w:val="000000"/>
          <w:lang w:val="en-GB" w:eastAsia="lt-LT"/>
        </w:rPr>
        <w:t>on the</w:t>
      </w:r>
      <w:r w:rsidRPr="00BA6C5E">
        <w:rPr>
          <w:color w:val="000000"/>
          <w:lang w:val="en-GB" w:eastAsia="lt-LT"/>
        </w:rPr>
        <w:t xml:space="preserve"> efficiency of the </w:t>
      </w:r>
      <w:r>
        <w:rPr>
          <w:color w:val="000000"/>
          <w:lang w:val="en-GB" w:eastAsia="lt-LT"/>
        </w:rPr>
        <w:t>program</w:t>
      </w:r>
      <w:r w:rsidRPr="00BA6C5E">
        <w:rPr>
          <w:color w:val="000000"/>
          <w:lang w:val="en-GB" w:eastAsia="lt-LT"/>
        </w:rPr>
        <w:t xml:space="preserve"> quality improvement</w:t>
      </w:r>
      <w:r w:rsidRPr="00BA6C5E">
        <w:rPr>
          <w:color w:val="000000"/>
          <w:lang w:val="en-GB"/>
        </w:rPr>
        <w:t xml:space="preserve">. The visiting experts encourage </w:t>
      </w:r>
      <w:r>
        <w:rPr>
          <w:color w:val="000000"/>
          <w:lang w:val="en-GB"/>
        </w:rPr>
        <w:t xml:space="preserve">the </w:t>
      </w:r>
      <w:r w:rsidRPr="00BA6C5E">
        <w:rPr>
          <w:color w:val="000000"/>
          <w:lang w:val="en-GB"/>
        </w:rPr>
        <w:t>institution to follow this way of quality improvement in the future.</w:t>
      </w:r>
    </w:p>
    <w:p w:rsidR="008F519B" w:rsidRPr="00BA6C5E" w:rsidRDefault="008F519B" w:rsidP="008040BC">
      <w:pPr>
        <w:numPr>
          <w:ilvl w:val="8"/>
          <w:numId w:val="1"/>
        </w:numPr>
        <w:spacing w:line="240" w:lineRule="auto"/>
        <w:ind w:firstLine="360"/>
        <w:rPr>
          <w:color w:val="000000"/>
          <w:lang w:val="en-GB"/>
        </w:rPr>
      </w:pPr>
    </w:p>
    <w:p w:rsidR="008F519B" w:rsidRPr="00BA6C5E" w:rsidRDefault="008F519B" w:rsidP="00F9556F">
      <w:pPr>
        <w:spacing w:line="240" w:lineRule="auto"/>
        <w:rPr>
          <w:color w:val="000000"/>
          <w:lang w:val="en-GB"/>
        </w:rPr>
      </w:pPr>
      <w:r w:rsidRPr="00BA6C5E">
        <w:rPr>
          <w:lang w:val="en-GB"/>
        </w:rPr>
        <w:t>6.</w:t>
      </w:r>
      <w:r w:rsidRPr="00BA6C5E">
        <w:rPr>
          <w:color w:val="000000"/>
          <w:lang w:val="en-GB"/>
        </w:rPr>
        <w:t>2.3.</w:t>
      </w:r>
      <w:r w:rsidRPr="00BA6C5E">
        <w:rPr>
          <w:i/>
          <w:color w:val="000000"/>
          <w:lang w:val="en-GB"/>
        </w:rPr>
        <w:t xml:space="preserve"> Efficiency of stakeholders’ participation.</w:t>
      </w:r>
    </w:p>
    <w:p w:rsidR="008F519B" w:rsidRPr="00BA6C5E" w:rsidRDefault="008F519B" w:rsidP="00F9556F">
      <w:pPr>
        <w:spacing w:line="240" w:lineRule="auto"/>
        <w:rPr>
          <w:lang w:val="en-GB"/>
        </w:rPr>
      </w:pPr>
      <w:r w:rsidRPr="00BA6C5E">
        <w:rPr>
          <w:color w:val="000000"/>
          <w:lang w:val="en-GB"/>
        </w:rPr>
        <w:t xml:space="preserve"> All stakeholders are active in </w:t>
      </w:r>
      <w:r>
        <w:rPr>
          <w:color w:val="000000"/>
          <w:lang w:val="en-GB"/>
        </w:rPr>
        <w:t>the monitoring of the</w:t>
      </w:r>
      <w:r w:rsidRPr="00BA6C5E">
        <w:rPr>
          <w:color w:val="000000"/>
          <w:lang w:val="en-GB"/>
        </w:rPr>
        <w:t xml:space="preserve"> </w:t>
      </w:r>
      <w:r>
        <w:rPr>
          <w:color w:val="000000"/>
          <w:lang w:val="en-GB"/>
        </w:rPr>
        <w:t>program</w:t>
      </w:r>
      <w:r w:rsidRPr="00BA6C5E">
        <w:rPr>
          <w:color w:val="000000"/>
          <w:lang w:val="en-GB"/>
        </w:rPr>
        <w:t xml:space="preserve">. </w:t>
      </w:r>
      <w:r>
        <w:rPr>
          <w:color w:val="000000"/>
          <w:lang w:val="en-GB"/>
        </w:rPr>
        <w:t>The t</w:t>
      </w:r>
      <w:r w:rsidRPr="00BA6C5E">
        <w:rPr>
          <w:color w:val="000000"/>
          <w:lang w:val="en-GB"/>
        </w:rPr>
        <w:t>eacher</w:t>
      </w:r>
      <w:r>
        <w:rPr>
          <w:color w:val="000000"/>
          <w:lang w:val="en-GB"/>
        </w:rPr>
        <w:t>s</w:t>
      </w:r>
      <w:r w:rsidRPr="00BA6C5E">
        <w:rPr>
          <w:color w:val="000000"/>
          <w:lang w:val="en-GB"/>
        </w:rPr>
        <w:t xml:space="preserve"> </w:t>
      </w:r>
      <w:r>
        <w:rPr>
          <w:color w:val="000000"/>
          <w:lang w:val="en-GB"/>
        </w:rPr>
        <w:t>and</w:t>
      </w:r>
      <w:r w:rsidRPr="00BA6C5E">
        <w:rPr>
          <w:color w:val="000000"/>
          <w:lang w:val="en-GB"/>
        </w:rPr>
        <w:t xml:space="preserve"> students </w:t>
      </w:r>
      <w:r>
        <w:rPr>
          <w:color w:val="000000"/>
          <w:lang w:val="en-GB"/>
        </w:rPr>
        <w:t xml:space="preserve">as well </w:t>
      </w:r>
      <w:r w:rsidRPr="00BA6C5E">
        <w:rPr>
          <w:color w:val="000000"/>
          <w:lang w:val="en-GB"/>
        </w:rPr>
        <w:t xml:space="preserve">are involved in </w:t>
      </w:r>
      <w:r>
        <w:rPr>
          <w:color w:val="000000"/>
          <w:lang w:val="en-GB"/>
        </w:rPr>
        <w:t xml:space="preserve">the </w:t>
      </w:r>
      <w:r w:rsidRPr="00BA6C5E">
        <w:rPr>
          <w:color w:val="000000"/>
          <w:lang w:val="en-GB"/>
        </w:rPr>
        <w:t xml:space="preserve">assessment and improvement process. </w:t>
      </w:r>
      <w:r>
        <w:rPr>
          <w:color w:val="000000"/>
          <w:lang w:val="en-GB"/>
        </w:rPr>
        <w:t>The e</w:t>
      </w:r>
      <w:r w:rsidRPr="00BA6C5E">
        <w:rPr>
          <w:color w:val="000000"/>
          <w:lang w:val="en-GB"/>
        </w:rPr>
        <w:t>xternal stakeholders are involv</w:t>
      </w:r>
      <w:r>
        <w:rPr>
          <w:color w:val="000000"/>
          <w:lang w:val="en-GB"/>
        </w:rPr>
        <w:t>ed in the</w:t>
      </w:r>
      <w:r w:rsidRPr="00BA6C5E">
        <w:rPr>
          <w:color w:val="000000"/>
          <w:lang w:val="en-GB"/>
        </w:rPr>
        <w:t xml:space="preserve"> </w:t>
      </w:r>
      <w:r w:rsidRPr="00BA6C5E">
        <w:rPr>
          <w:lang w:val="en-GB"/>
        </w:rPr>
        <w:t xml:space="preserve">assessment process </w:t>
      </w:r>
      <w:r>
        <w:rPr>
          <w:lang w:val="en-GB"/>
        </w:rPr>
        <w:t>through the institutional</w:t>
      </w:r>
      <w:r w:rsidRPr="00BA6C5E">
        <w:rPr>
          <w:lang w:val="en-GB"/>
        </w:rPr>
        <w:t xml:space="preserve"> agreements for students’ practice</w:t>
      </w:r>
      <w:r>
        <w:rPr>
          <w:lang w:val="en-GB"/>
        </w:rPr>
        <w:t>,</w:t>
      </w:r>
      <w:r w:rsidRPr="00BA6C5E">
        <w:rPr>
          <w:lang w:val="en-GB"/>
        </w:rPr>
        <w:t xml:space="preserve"> research projects</w:t>
      </w:r>
      <w:r>
        <w:rPr>
          <w:lang w:val="en-GB"/>
        </w:rPr>
        <w:t xml:space="preserve"> and</w:t>
      </w:r>
      <w:r w:rsidRPr="00BA6C5E">
        <w:rPr>
          <w:lang w:val="en-GB"/>
        </w:rPr>
        <w:t xml:space="preserve"> conferences. The visiting experts </w:t>
      </w:r>
      <w:r>
        <w:rPr>
          <w:lang w:val="en-GB"/>
        </w:rPr>
        <w:t xml:space="preserve">are </w:t>
      </w:r>
      <w:r w:rsidRPr="00BA6C5E">
        <w:rPr>
          <w:lang w:val="en-GB"/>
        </w:rPr>
        <w:t>delight</w:t>
      </w:r>
      <w:r>
        <w:rPr>
          <w:lang w:val="en-GB"/>
        </w:rPr>
        <w:t>ed to</w:t>
      </w:r>
      <w:r w:rsidRPr="00BA6C5E">
        <w:rPr>
          <w:lang w:val="en-GB"/>
        </w:rPr>
        <w:t xml:space="preserve"> note that the collaboration and exchange of views with </w:t>
      </w:r>
      <w:r>
        <w:rPr>
          <w:lang w:val="en-GB"/>
        </w:rPr>
        <w:t xml:space="preserve">the </w:t>
      </w:r>
      <w:r w:rsidRPr="00BA6C5E">
        <w:rPr>
          <w:lang w:val="en-GB"/>
        </w:rPr>
        <w:t>external stak</w:t>
      </w:r>
      <w:r>
        <w:rPr>
          <w:lang w:val="en-GB"/>
        </w:rPr>
        <w:t>eholders are intensive and work</w:t>
      </w:r>
      <w:r w:rsidRPr="00BA6C5E">
        <w:rPr>
          <w:lang w:val="en-GB"/>
        </w:rPr>
        <w:t xml:space="preserve"> very positive</w:t>
      </w:r>
      <w:r>
        <w:rPr>
          <w:lang w:val="en-GB"/>
        </w:rPr>
        <w:t>ly</w:t>
      </w:r>
      <w:r w:rsidRPr="00BA6C5E">
        <w:rPr>
          <w:lang w:val="en-GB"/>
        </w:rPr>
        <w:t xml:space="preserve">. </w:t>
      </w:r>
    </w:p>
    <w:p w:rsidR="008F519B" w:rsidRPr="00BA6C5E" w:rsidRDefault="008F519B" w:rsidP="00F17215">
      <w:pPr>
        <w:spacing w:line="240" w:lineRule="auto"/>
        <w:rPr>
          <w:lang w:val="en-GB"/>
        </w:rPr>
      </w:pPr>
    </w:p>
    <w:p w:rsidR="008F519B" w:rsidRPr="00BA6C5E" w:rsidRDefault="008F519B" w:rsidP="00F17215">
      <w:pPr>
        <w:tabs>
          <w:tab w:val="right" w:leader="dot" w:pos="9072"/>
        </w:tabs>
        <w:spacing w:line="240" w:lineRule="auto"/>
        <w:rPr>
          <w:b/>
          <w:i/>
          <w:lang w:val="en-GB"/>
        </w:rPr>
      </w:pPr>
      <w:r w:rsidRPr="00BA6C5E">
        <w:rPr>
          <w:b/>
          <w:i/>
          <w:lang w:val="en-GB"/>
        </w:rPr>
        <w:t>7.  Influence on cultural life</w:t>
      </w:r>
    </w:p>
    <w:p w:rsidR="008F519B" w:rsidRPr="00BA6C5E" w:rsidRDefault="008F519B" w:rsidP="00344E79">
      <w:pPr>
        <w:spacing w:line="240" w:lineRule="auto"/>
        <w:rPr>
          <w:lang w:val="en-GB"/>
        </w:rPr>
      </w:pPr>
      <w:r w:rsidRPr="00BA6C5E">
        <w:rPr>
          <w:lang w:val="en-GB"/>
        </w:rPr>
        <w:t xml:space="preserve">The general influence of the </w:t>
      </w:r>
      <w:r>
        <w:rPr>
          <w:lang w:val="en-GB"/>
        </w:rPr>
        <w:t>program</w:t>
      </w:r>
      <w:r w:rsidRPr="00BA6C5E">
        <w:rPr>
          <w:lang w:val="en-GB"/>
        </w:rPr>
        <w:t xml:space="preserve"> can be observed beyond the employability of graduates</w:t>
      </w:r>
      <w:r>
        <w:rPr>
          <w:lang w:val="en-GB"/>
        </w:rPr>
        <w:t>,</w:t>
      </w:r>
      <w:r w:rsidRPr="00BA6C5E">
        <w:rPr>
          <w:lang w:val="en-GB"/>
        </w:rPr>
        <w:t xml:space="preserve"> since these professionals are also active in the social and cultural life of Lithuania in general a</w:t>
      </w:r>
      <w:r>
        <w:rPr>
          <w:lang w:val="en-GB"/>
        </w:rPr>
        <w:t>nd in the south-east region of the</w:t>
      </w:r>
      <w:r w:rsidRPr="00BA6C5E">
        <w:rPr>
          <w:lang w:val="en-GB"/>
        </w:rPr>
        <w:t xml:space="preserve"> country in particular. The intensive artistic activity of various music ensembles where staff </w:t>
      </w:r>
      <w:r>
        <w:rPr>
          <w:lang w:val="en-GB"/>
        </w:rPr>
        <w:t>and students</w:t>
      </w:r>
      <w:r w:rsidRPr="00BA6C5E">
        <w:rPr>
          <w:lang w:val="en-GB"/>
        </w:rPr>
        <w:t xml:space="preserve"> participate is also </w:t>
      </w:r>
      <w:r>
        <w:rPr>
          <w:lang w:val="en-GB"/>
        </w:rPr>
        <w:t>an obvious evidence of this</w:t>
      </w:r>
      <w:r w:rsidRPr="00BA6C5E">
        <w:rPr>
          <w:lang w:val="en-GB"/>
        </w:rPr>
        <w:t xml:space="preserve"> influence on cultural life.</w:t>
      </w:r>
    </w:p>
    <w:p w:rsidR="008F519B" w:rsidRPr="00BA6C5E" w:rsidRDefault="008F519B" w:rsidP="00F17215">
      <w:pPr>
        <w:tabs>
          <w:tab w:val="right" w:leader="dot" w:pos="9072"/>
        </w:tabs>
        <w:spacing w:line="240" w:lineRule="auto"/>
        <w:rPr>
          <w:b/>
          <w:i/>
          <w:lang w:val="en-GB"/>
        </w:rPr>
      </w:pPr>
    </w:p>
    <w:p w:rsidR="008F519B" w:rsidRPr="00BA6C5E" w:rsidRDefault="008F519B" w:rsidP="00F17215">
      <w:pPr>
        <w:spacing w:line="240" w:lineRule="auto"/>
        <w:rPr>
          <w:b/>
          <w:i/>
          <w:lang w:val="en-GB"/>
        </w:rPr>
      </w:pPr>
      <w:r w:rsidRPr="00BA6C5E">
        <w:rPr>
          <w:b/>
          <w:i/>
          <w:lang w:val="en-GB"/>
        </w:rPr>
        <w:t>8.   Interaction with the profession</w:t>
      </w:r>
    </w:p>
    <w:p w:rsidR="008F519B" w:rsidRPr="00BA6C5E" w:rsidRDefault="008F519B" w:rsidP="00F74A24">
      <w:pPr>
        <w:spacing w:line="240" w:lineRule="auto"/>
        <w:rPr>
          <w:lang w:val="en-GB"/>
        </w:rPr>
      </w:pPr>
      <w:r w:rsidRPr="00BA6C5E">
        <w:rPr>
          <w:lang w:val="en-GB"/>
        </w:rPr>
        <w:t xml:space="preserve">There is deep interaction between </w:t>
      </w:r>
      <w:r>
        <w:rPr>
          <w:lang w:val="en-GB"/>
        </w:rPr>
        <w:t xml:space="preserve">the </w:t>
      </w:r>
      <w:r w:rsidRPr="00BA6C5E">
        <w:rPr>
          <w:lang w:val="en-GB"/>
        </w:rPr>
        <w:t xml:space="preserve">study </w:t>
      </w:r>
      <w:r>
        <w:rPr>
          <w:lang w:val="en-GB"/>
        </w:rPr>
        <w:t>program</w:t>
      </w:r>
      <w:r w:rsidRPr="00BA6C5E">
        <w:rPr>
          <w:lang w:val="en-GB"/>
        </w:rPr>
        <w:t xml:space="preserve"> and </w:t>
      </w:r>
      <w:r>
        <w:rPr>
          <w:lang w:val="en-GB"/>
        </w:rPr>
        <w:t xml:space="preserve">the </w:t>
      </w:r>
      <w:r w:rsidRPr="00BA6C5E">
        <w:rPr>
          <w:lang w:val="en-GB"/>
        </w:rPr>
        <w:t xml:space="preserve">profession. </w:t>
      </w:r>
      <w:r>
        <w:rPr>
          <w:lang w:val="en-GB"/>
        </w:rPr>
        <w:t>The s</w:t>
      </w:r>
      <w:r w:rsidRPr="00BA6C5E">
        <w:rPr>
          <w:lang w:val="en-GB"/>
        </w:rPr>
        <w:t xml:space="preserve">tudy </w:t>
      </w:r>
      <w:r>
        <w:rPr>
          <w:lang w:val="en-GB"/>
        </w:rPr>
        <w:t>program</w:t>
      </w:r>
      <w:r w:rsidRPr="00BA6C5E">
        <w:rPr>
          <w:lang w:val="en-GB"/>
        </w:rPr>
        <w:t xml:space="preserve"> is structured according the all official regulations and – </w:t>
      </w:r>
      <w:r>
        <w:rPr>
          <w:lang w:val="en-GB"/>
        </w:rPr>
        <w:t>this is of special importance</w:t>
      </w:r>
      <w:r w:rsidRPr="00BA6C5E">
        <w:rPr>
          <w:lang w:val="en-GB"/>
        </w:rPr>
        <w:t xml:space="preserve"> – in close relation with emp</w:t>
      </w:r>
      <w:r>
        <w:rPr>
          <w:lang w:val="en-GB"/>
        </w:rPr>
        <w:t>l</w:t>
      </w:r>
      <w:r w:rsidRPr="00BA6C5E">
        <w:rPr>
          <w:lang w:val="en-GB"/>
        </w:rPr>
        <w:t>oyers</w:t>
      </w:r>
      <w:r>
        <w:rPr>
          <w:lang w:val="en-GB"/>
        </w:rPr>
        <w:t>' and</w:t>
      </w:r>
      <w:r w:rsidRPr="00BA6C5E">
        <w:rPr>
          <w:lang w:val="en-GB"/>
        </w:rPr>
        <w:t xml:space="preserve"> other stakeholders</w:t>
      </w:r>
      <w:r>
        <w:rPr>
          <w:lang w:val="en-GB"/>
        </w:rPr>
        <w:t>’ needs</w:t>
      </w:r>
      <w:r w:rsidRPr="00BA6C5E">
        <w:rPr>
          <w:lang w:val="en-GB"/>
        </w:rPr>
        <w:t xml:space="preserve">. </w:t>
      </w:r>
      <w:r>
        <w:rPr>
          <w:lang w:val="en-GB"/>
        </w:rPr>
        <w:t>The t</w:t>
      </w:r>
      <w:r w:rsidRPr="00BA6C5E">
        <w:rPr>
          <w:lang w:val="en-GB"/>
        </w:rPr>
        <w:t xml:space="preserve">eachers of </w:t>
      </w:r>
      <w:r>
        <w:rPr>
          <w:lang w:val="en-GB"/>
        </w:rPr>
        <w:t>the</w:t>
      </w:r>
      <w:r w:rsidRPr="00BA6C5E">
        <w:rPr>
          <w:lang w:val="en-GB"/>
        </w:rPr>
        <w:t xml:space="preserve"> </w:t>
      </w:r>
      <w:r>
        <w:rPr>
          <w:lang w:val="en-GB"/>
        </w:rPr>
        <w:t>program</w:t>
      </w:r>
      <w:r w:rsidRPr="00BA6C5E">
        <w:rPr>
          <w:lang w:val="en-GB"/>
        </w:rPr>
        <w:t xml:space="preserve"> are </w:t>
      </w:r>
      <w:r>
        <w:rPr>
          <w:lang w:val="en-GB"/>
        </w:rPr>
        <w:t xml:space="preserve">very representative of the professional </w:t>
      </w:r>
      <w:r w:rsidRPr="00BA6C5E">
        <w:rPr>
          <w:lang w:val="en-GB"/>
        </w:rPr>
        <w:t xml:space="preserve">reality </w:t>
      </w:r>
      <w:r>
        <w:rPr>
          <w:lang w:val="en-GB"/>
        </w:rPr>
        <w:t>for their students.</w:t>
      </w:r>
      <w:r w:rsidRPr="00BA6C5E">
        <w:rPr>
          <w:lang w:val="en-GB"/>
        </w:rPr>
        <w:t xml:space="preserve"> Practic</w:t>
      </w:r>
      <w:r>
        <w:rPr>
          <w:lang w:val="en-GB"/>
        </w:rPr>
        <w:t>al training</w:t>
      </w:r>
      <w:r w:rsidRPr="00BA6C5E">
        <w:rPr>
          <w:lang w:val="en-GB"/>
        </w:rPr>
        <w:t xml:space="preserve"> organised since the first study year le</w:t>
      </w:r>
      <w:r>
        <w:rPr>
          <w:lang w:val="en-GB"/>
        </w:rPr>
        <w:t>ads</w:t>
      </w:r>
      <w:r w:rsidRPr="00BA6C5E">
        <w:rPr>
          <w:lang w:val="en-GB"/>
        </w:rPr>
        <w:t xml:space="preserve"> to </w:t>
      </w:r>
      <w:r>
        <w:rPr>
          <w:lang w:val="en-GB"/>
        </w:rPr>
        <w:t>a very good knowledge of the</w:t>
      </w:r>
      <w:r w:rsidRPr="00BA6C5E">
        <w:rPr>
          <w:lang w:val="en-GB"/>
        </w:rPr>
        <w:t xml:space="preserve"> profession. The visiting experts</w:t>
      </w:r>
      <w:r>
        <w:rPr>
          <w:lang w:val="en-GB"/>
        </w:rPr>
        <w:t xml:space="preserve"> think it is</w:t>
      </w:r>
      <w:r w:rsidRPr="00BA6C5E">
        <w:rPr>
          <w:lang w:val="en-GB"/>
        </w:rPr>
        <w:t xml:space="preserve"> a </w:t>
      </w:r>
      <w:r>
        <w:rPr>
          <w:lang w:val="en-GB"/>
        </w:rPr>
        <w:t>very positive</w:t>
      </w:r>
      <w:r w:rsidRPr="00BA6C5E">
        <w:rPr>
          <w:lang w:val="en-GB"/>
        </w:rPr>
        <w:t xml:space="preserve"> model.</w:t>
      </w:r>
    </w:p>
    <w:p w:rsidR="008F519B" w:rsidRPr="00BA6C5E" w:rsidRDefault="008F519B" w:rsidP="00F74A24">
      <w:pPr>
        <w:spacing w:line="240" w:lineRule="auto"/>
        <w:rPr>
          <w:lang w:val="en-GB"/>
        </w:rPr>
      </w:pPr>
    </w:p>
    <w:p w:rsidR="008F519B" w:rsidRPr="00BA6C5E" w:rsidRDefault="008F519B" w:rsidP="008040BC">
      <w:pPr>
        <w:spacing w:line="240" w:lineRule="auto"/>
        <w:ind w:firstLine="360"/>
        <w:rPr>
          <w:i/>
          <w:lang w:val="en-GB"/>
        </w:rPr>
      </w:pPr>
    </w:p>
    <w:p w:rsidR="008F519B" w:rsidRPr="00BA6C5E" w:rsidRDefault="008F519B" w:rsidP="00174068">
      <w:pPr>
        <w:pStyle w:val="Heading1"/>
      </w:pPr>
      <w:bookmarkStart w:id="49" w:name="_3._RECOMMENDATIONS"/>
      <w:bookmarkStart w:id="50" w:name="_Toc278293019"/>
      <w:bookmarkEnd w:id="49"/>
      <w:r w:rsidRPr="00BA6C5E">
        <w:t>III. RECOMMENDATIONS</w:t>
      </w:r>
      <w:bookmarkEnd w:id="50"/>
      <w:r w:rsidRPr="00BA6C5E">
        <w:t xml:space="preserve"> </w:t>
      </w:r>
    </w:p>
    <w:p w:rsidR="008F519B" w:rsidRPr="00BA6C5E" w:rsidRDefault="008F519B" w:rsidP="008040BC">
      <w:pPr>
        <w:spacing w:line="240" w:lineRule="auto"/>
        <w:ind w:left="360" w:firstLine="360"/>
        <w:rPr>
          <w:color w:val="000000"/>
          <w:lang w:val="en-GB"/>
        </w:rPr>
      </w:pPr>
    </w:p>
    <w:p w:rsidR="008F519B" w:rsidRPr="00BA6C5E" w:rsidRDefault="008F519B" w:rsidP="00EB08F8">
      <w:pPr>
        <w:spacing w:line="240" w:lineRule="auto"/>
        <w:rPr>
          <w:color w:val="000000"/>
          <w:lang w:val="en-GB"/>
        </w:rPr>
      </w:pPr>
      <w:r>
        <w:rPr>
          <w:color w:val="000000"/>
          <w:lang w:val="en-GB"/>
        </w:rPr>
        <w:t>3.1</w:t>
      </w:r>
      <w:r w:rsidRPr="00BA6C5E">
        <w:rPr>
          <w:color w:val="000000"/>
          <w:lang w:val="en-GB"/>
        </w:rPr>
        <w:t xml:space="preserve">. </w:t>
      </w:r>
      <w:r>
        <w:rPr>
          <w:color w:val="000000"/>
          <w:lang w:val="en-GB"/>
        </w:rPr>
        <w:t>With the integration of the program into Pedagogical Department, the experts recommend a careful monitoring of the</w:t>
      </w:r>
      <w:r w:rsidRPr="00BA6C5E">
        <w:rPr>
          <w:lang w:val="en-GB"/>
        </w:rPr>
        <w:t xml:space="preserve"> balance between </w:t>
      </w:r>
      <w:r>
        <w:rPr>
          <w:lang w:val="en-GB"/>
        </w:rPr>
        <w:t xml:space="preserve">the </w:t>
      </w:r>
      <w:r w:rsidRPr="00BA6C5E">
        <w:rPr>
          <w:lang w:val="en-GB"/>
        </w:rPr>
        <w:t>pedagogical and musical learning outcomes in the new structure</w:t>
      </w:r>
      <w:r>
        <w:rPr>
          <w:lang w:val="en-GB"/>
        </w:rPr>
        <w:t>. (II, 1.2.3)</w:t>
      </w:r>
    </w:p>
    <w:p w:rsidR="008F519B" w:rsidRPr="00BA6C5E" w:rsidRDefault="008F519B" w:rsidP="004066D7">
      <w:pPr>
        <w:spacing w:line="240" w:lineRule="auto"/>
        <w:ind w:left="360"/>
        <w:rPr>
          <w:color w:val="000000"/>
          <w:lang w:val="en-GB"/>
        </w:rPr>
      </w:pPr>
    </w:p>
    <w:p w:rsidR="008F519B" w:rsidRDefault="008F519B" w:rsidP="00EB08F8">
      <w:pPr>
        <w:spacing w:line="240" w:lineRule="auto"/>
        <w:rPr>
          <w:lang w:val="en-GB"/>
        </w:rPr>
      </w:pPr>
      <w:r w:rsidRPr="00BA6C5E">
        <w:rPr>
          <w:color w:val="000000"/>
          <w:lang w:val="en-GB"/>
        </w:rPr>
        <w:t>3.</w:t>
      </w:r>
      <w:r>
        <w:rPr>
          <w:color w:val="000000"/>
          <w:lang w:val="en-GB"/>
        </w:rPr>
        <w:t>2</w:t>
      </w:r>
      <w:r w:rsidRPr="00BA6C5E">
        <w:rPr>
          <w:color w:val="000000"/>
          <w:lang w:val="en-GB"/>
        </w:rPr>
        <w:t xml:space="preserve">. </w:t>
      </w:r>
      <w:r>
        <w:rPr>
          <w:color w:val="000000"/>
          <w:lang w:val="en-GB"/>
        </w:rPr>
        <w:t>Also in the view of keeping the right balance between the pedagogical and artistic subjects, the experts recommend the VPU to c</w:t>
      </w:r>
      <w:r w:rsidRPr="00BA6C5E">
        <w:rPr>
          <w:lang w:val="en-GB"/>
        </w:rPr>
        <w:t xml:space="preserve">onsider the opportunity of developing new </w:t>
      </w:r>
      <w:r>
        <w:rPr>
          <w:lang w:val="en-GB"/>
        </w:rPr>
        <w:t>programs and/or modules with the LMTA (II, 2.1.2)</w:t>
      </w:r>
    </w:p>
    <w:p w:rsidR="008F519B" w:rsidRDefault="008F519B" w:rsidP="004066D7">
      <w:pPr>
        <w:spacing w:line="240" w:lineRule="auto"/>
        <w:ind w:left="360"/>
        <w:rPr>
          <w:lang w:val="en-GB"/>
        </w:rPr>
      </w:pPr>
    </w:p>
    <w:p w:rsidR="008F519B" w:rsidRDefault="008F519B" w:rsidP="00EB08F8">
      <w:pPr>
        <w:spacing w:line="240" w:lineRule="auto"/>
        <w:rPr>
          <w:color w:val="000000"/>
          <w:lang w:val="en-GB"/>
        </w:rPr>
      </w:pPr>
      <w:r>
        <w:rPr>
          <w:color w:val="000000"/>
          <w:lang w:val="en-GB"/>
        </w:rPr>
        <w:t>3.3</w:t>
      </w:r>
      <w:r w:rsidRPr="00BA6C5E">
        <w:rPr>
          <w:color w:val="000000"/>
          <w:lang w:val="en-GB"/>
        </w:rPr>
        <w:t>. T</w:t>
      </w:r>
      <w:r>
        <w:rPr>
          <w:color w:val="000000"/>
          <w:lang w:val="en-GB"/>
        </w:rPr>
        <w:t>he experts make a general recommendation to be more active on the international field (research, publication of articles in peer reviewed journals, conferences, mobility programs for students and teachers) and to attract more international students by running some courses in English. (II, 3.2.1, 5.2.3)</w:t>
      </w:r>
    </w:p>
    <w:p w:rsidR="008F519B" w:rsidRPr="00BA6C5E" w:rsidRDefault="008F519B" w:rsidP="008459A5">
      <w:pPr>
        <w:spacing w:line="240" w:lineRule="auto"/>
        <w:rPr>
          <w:color w:val="000000"/>
          <w:lang w:val="en-GB"/>
        </w:rPr>
      </w:pPr>
    </w:p>
    <w:p w:rsidR="008F519B" w:rsidRDefault="008F519B" w:rsidP="00EB08F8">
      <w:pPr>
        <w:spacing w:line="240" w:lineRule="auto"/>
        <w:rPr>
          <w:lang w:val="en-GB"/>
        </w:rPr>
      </w:pPr>
      <w:r>
        <w:rPr>
          <w:color w:val="000000"/>
          <w:lang w:val="en-GB"/>
        </w:rPr>
        <w:t>3.4</w:t>
      </w:r>
      <w:r w:rsidRPr="00BA6C5E">
        <w:rPr>
          <w:color w:val="000000"/>
          <w:lang w:val="en-GB"/>
        </w:rPr>
        <w:t xml:space="preserve">. </w:t>
      </w:r>
      <w:r w:rsidRPr="00F870B9">
        <w:rPr>
          <w:lang w:val="en-GB"/>
        </w:rPr>
        <w:t xml:space="preserve">The experts recommend taking </w:t>
      </w:r>
      <w:r>
        <w:rPr>
          <w:lang w:val="en-GB"/>
        </w:rPr>
        <w:t xml:space="preserve">further </w:t>
      </w:r>
      <w:r w:rsidRPr="00F870B9">
        <w:rPr>
          <w:lang w:val="en-GB"/>
        </w:rPr>
        <w:t>steps for a careful processing and recognition of the non-formal and self-education studies</w:t>
      </w:r>
      <w:r>
        <w:rPr>
          <w:lang w:val="en-GB"/>
        </w:rPr>
        <w:t xml:space="preserve"> (II, 5.4.4)</w:t>
      </w:r>
    </w:p>
    <w:p w:rsidR="008F519B" w:rsidRPr="00BA6C5E" w:rsidRDefault="008F519B" w:rsidP="004066D7">
      <w:pPr>
        <w:spacing w:line="240" w:lineRule="auto"/>
        <w:rPr>
          <w:lang w:val="en-GB"/>
        </w:rPr>
      </w:pPr>
    </w:p>
    <w:p w:rsidR="008F519B" w:rsidRPr="00BA6C5E" w:rsidRDefault="008F519B" w:rsidP="00937537">
      <w:pPr>
        <w:spacing w:line="240" w:lineRule="auto"/>
        <w:ind w:left="360" w:hanging="360"/>
        <w:rPr>
          <w:color w:val="000000"/>
          <w:lang w:val="en-GB"/>
        </w:rPr>
      </w:pPr>
    </w:p>
    <w:p w:rsidR="008F519B" w:rsidRPr="00BA6C5E" w:rsidRDefault="008F519B" w:rsidP="00162C92">
      <w:pPr>
        <w:spacing w:line="240" w:lineRule="auto"/>
        <w:ind w:left="360"/>
        <w:rPr>
          <w:b/>
          <w:color w:val="000000"/>
          <w:lang w:val="en-GB"/>
        </w:rPr>
      </w:pPr>
      <w:r w:rsidRPr="00BA6C5E">
        <w:rPr>
          <w:color w:val="000000"/>
          <w:lang w:val="en-GB"/>
        </w:rPr>
        <w:br w:type="page"/>
      </w:r>
      <w:bookmarkStart w:id="51" w:name="_4._GENERAL_ASSESSMENT"/>
      <w:bookmarkEnd w:id="51"/>
    </w:p>
    <w:p w:rsidR="008F519B" w:rsidRPr="00BA6C5E" w:rsidRDefault="008F519B" w:rsidP="00174068">
      <w:pPr>
        <w:pStyle w:val="Heading1"/>
        <w:rPr>
          <w:color w:val="000000"/>
          <w:lang w:val="en-GB"/>
        </w:rPr>
      </w:pPr>
      <w:r w:rsidRPr="00BA6C5E">
        <w:t xml:space="preserve"> </w:t>
      </w:r>
      <w:bookmarkStart w:id="52" w:name="_Toc278293020"/>
      <w:r w:rsidRPr="00BA6C5E">
        <w:t>IV. GENERAL ASSESSMENT</w:t>
      </w:r>
      <w:bookmarkEnd w:id="52"/>
      <w:r w:rsidRPr="00BA6C5E">
        <w:t xml:space="preserve"> </w:t>
      </w:r>
    </w:p>
    <w:p w:rsidR="008F519B" w:rsidRPr="00BA6C5E" w:rsidRDefault="008F519B" w:rsidP="000F4C28"/>
    <w:p w:rsidR="008F519B" w:rsidRPr="00BA6C5E" w:rsidRDefault="008F519B" w:rsidP="000F4C28">
      <w:r w:rsidRPr="00BA6C5E">
        <w:t xml:space="preserve">The study </w:t>
      </w:r>
      <w:r>
        <w:t>program</w:t>
      </w:r>
      <w:r w:rsidRPr="00BA6C5E">
        <w:t xml:space="preserve"> </w:t>
      </w:r>
      <w:r w:rsidRPr="00BA6C5E">
        <w:rPr>
          <w:i/>
        </w:rPr>
        <w:t>Music</w:t>
      </w:r>
      <w:r w:rsidRPr="00BA6C5E">
        <w:rPr>
          <w:i/>
          <w:color w:val="000000"/>
          <w:lang w:val="en-GB"/>
        </w:rPr>
        <w:t xml:space="preserve"> </w:t>
      </w:r>
      <w:r w:rsidRPr="00BA6C5E">
        <w:rPr>
          <w:color w:val="000000"/>
          <w:lang w:val="en-GB"/>
        </w:rPr>
        <w:t>(state code –</w:t>
      </w:r>
      <w:r w:rsidRPr="00BA6C5E">
        <w:rPr>
          <w:i/>
          <w:color w:val="000000"/>
          <w:lang w:val="en-GB"/>
        </w:rPr>
        <w:t xml:space="preserve"> </w:t>
      </w:r>
      <w:r w:rsidRPr="00BA6C5E">
        <w:t>61201M109</w:t>
      </w:r>
      <w:r>
        <w:t>, 612X14003</w:t>
      </w:r>
      <w:r w:rsidRPr="00BA6C5E">
        <w:rPr>
          <w:color w:val="000000"/>
          <w:lang w:val="en-GB"/>
        </w:rPr>
        <w:t xml:space="preserve">) is given </w:t>
      </w:r>
      <w:r w:rsidRPr="00BA6C5E">
        <w:rPr>
          <w:b/>
          <w:color w:val="000000"/>
          <w:lang w:val="en-GB"/>
        </w:rPr>
        <w:t>positive</w:t>
      </w:r>
      <w:r w:rsidRPr="00BA6C5E">
        <w:rPr>
          <w:color w:val="000000"/>
          <w:lang w:val="en-GB"/>
        </w:rPr>
        <w:t xml:space="preserve"> evaluation. </w:t>
      </w:r>
    </w:p>
    <w:p w:rsidR="008F519B" w:rsidRPr="00BA6C5E" w:rsidRDefault="008F519B" w:rsidP="00174068">
      <w:pPr>
        <w:pStyle w:val="Heading1"/>
        <w:rPr>
          <w:lang w:val="en-GB"/>
        </w:rPr>
      </w:pPr>
    </w:p>
    <w:p w:rsidR="008F519B" w:rsidRPr="00BA6C5E" w:rsidRDefault="008F519B" w:rsidP="00AA7843">
      <w:pPr>
        <w:rPr>
          <w:lang w:val="en-GB"/>
        </w:rPr>
      </w:pPr>
      <w:r w:rsidRPr="00BA6C5E">
        <w:rPr>
          <w:lang w:val="en-GB"/>
        </w:rPr>
        <w:t xml:space="preserve">Table. </w:t>
      </w:r>
      <w:r w:rsidRPr="00BA6C5E">
        <w:rPr>
          <w:i/>
          <w:lang w:val="en-GB"/>
        </w:rPr>
        <w:t xml:space="preserve">Study </w:t>
      </w:r>
      <w:r>
        <w:rPr>
          <w:i/>
          <w:lang w:val="en-GB"/>
        </w:rPr>
        <w:t>program</w:t>
      </w:r>
      <w:r w:rsidRPr="00BA6C5E">
        <w:rPr>
          <w:i/>
          <w:lang w:val="en-GB"/>
        </w:rPr>
        <w:t xml:space="preserve"> assessment in points by evaluation areas</w:t>
      </w:r>
      <w:r w:rsidRPr="00BA6C5E">
        <w:rPr>
          <w:lang w:val="en-GB"/>
        </w:rPr>
        <w:t>.</w:t>
      </w:r>
    </w:p>
    <w:tbl>
      <w:tblPr>
        <w:tblW w:w="0" w:type="auto"/>
        <w:tblInd w:w="108" w:type="dxa"/>
        <w:tblCellMar>
          <w:left w:w="0" w:type="dxa"/>
          <w:right w:w="0" w:type="dxa"/>
        </w:tblCellMar>
        <w:tblLook w:val="0000"/>
      </w:tblPr>
      <w:tblGrid>
        <w:gridCol w:w="570"/>
        <w:gridCol w:w="7074"/>
        <w:gridCol w:w="1534"/>
      </w:tblGrid>
      <w:tr w:rsidR="008F519B" w:rsidRPr="00BA6C5E">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center"/>
              <w:rPr>
                <w:lang w:val="en-US"/>
              </w:rPr>
            </w:pPr>
            <w:r w:rsidRPr="00BA6C5E">
              <w:rPr>
                <w:lang w:val="en-US"/>
              </w:rPr>
              <w:t>No.</w:t>
            </w:r>
          </w:p>
        </w:tc>
        <w:tc>
          <w:tcPr>
            <w:tcW w:w="7074"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center"/>
              <w:rPr>
                <w:lang w:val="en-US"/>
              </w:rPr>
            </w:pPr>
            <w:r w:rsidRPr="00BA6C5E">
              <w:rPr>
                <w:lang w:val="en-US"/>
              </w:rPr>
              <w:t>Evaluation area</w:t>
            </w:r>
          </w:p>
        </w:tc>
        <w:tc>
          <w:tcPr>
            <w:tcW w:w="1534"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center"/>
              <w:rPr>
                <w:lang w:val="en-US"/>
              </w:rPr>
            </w:pPr>
            <w:r w:rsidRPr="00BA6C5E">
              <w:rPr>
                <w:lang w:val="en-US"/>
              </w:rPr>
              <w:t>Assessment in points*   </w:t>
            </w:r>
          </w:p>
        </w:tc>
      </w:tr>
      <w:tr w:rsidR="008F519B" w:rsidRPr="00BA6C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center"/>
              <w:rPr>
                <w:lang w:val="en-US"/>
              </w:rPr>
            </w:pPr>
            <w:r w:rsidRPr="00BA6C5E">
              <w:rPr>
                <w:lang w:val="en-US"/>
              </w:rPr>
              <w:t>1</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left"/>
              <w:rPr>
                <w:lang w:val="en-US"/>
              </w:rPr>
            </w:pPr>
            <w:r>
              <w:rPr>
                <w:color w:val="000000"/>
                <w:lang w:val="en-GB"/>
              </w:rPr>
              <w:t>Program</w:t>
            </w:r>
            <w:r w:rsidRPr="00BA6C5E">
              <w:rPr>
                <w:color w:val="000000"/>
                <w:lang w:val="en-GB"/>
              </w:rPr>
              <w:t xml:space="preserve"> aims and  learning outcomes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left"/>
              <w:rPr>
                <w:lang w:val="en-US"/>
              </w:rPr>
            </w:pPr>
            <w:r w:rsidRPr="00BA6C5E">
              <w:rPr>
                <w:lang w:val="en-US"/>
              </w:rPr>
              <w:t> 4</w:t>
            </w:r>
          </w:p>
        </w:tc>
      </w:tr>
      <w:tr w:rsidR="008F519B" w:rsidRPr="00BA6C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center"/>
              <w:rPr>
                <w:lang w:val="en-US"/>
              </w:rPr>
            </w:pPr>
            <w:r w:rsidRPr="00BA6C5E">
              <w:rPr>
                <w:lang w:val="en-US"/>
              </w:rPr>
              <w:t>2</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left"/>
              <w:rPr>
                <w:lang w:val="en-US"/>
              </w:rPr>
            </w:pPr>
            <w:r w:rsidRPr="00BA6C5E">
              <w:rPr>
                <w:color w:val="000000"/>
                <w:lang w:val="en-GB"/>
              </w:rPr>
              <w:t>Curriculum design</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left"/>
              <w:rPr>
                <w:lang w:val="en-US"/>
              </w:rPr>
            </w:pPr>
            <w:r w:rsidRPr="00BA6C5E">
              <w:rPr>
                <w:lang w:val="en-US"/>
              </w:rPr>
              <w:t> 4</w:t>
            </w:r>
          </w:p>
        </w:tc>
      </w:tr>
      <w:tr w:rsidR="008F519B" w:rsidRPr="00BA6C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center"/>
              <w:rPr>
                <w:lang w:val="en-US"/>
              </w:rPr>
            </w:pPr>
            <w:r w:rsidRPr="00BA6C5E">
              <w:rPr>
                <w:lang w:val="en-US"/>
              </w:rPr>
              <w:t>3</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left"/>
              <w:rPr>
                <w:lang w:val="en-US"/>
              </w:rPr>
            </w:pPr>
            <w:r w:rsidRPr="00BA6C5E">
              <w:rPr>
                <w:color w:val="000000"/>
                <w:lang w:val="en-GB"/>
              </w:rPr>
              <w:t>Staff</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left"/>
              <w:rPr>
                <w:lang w:val="en-US"/>
              </w:rPr>
            </w:pPr>
            <w:r w:rsidRPr="00BA6C5E">
              <w:rPr>
                <w:lang w:val="en-US"/>
              </w:rPr>
              <w:t> 4</w:t>
            </w:r>
          </w:p>
        </w:tc>
      </w:tr>
      <w:tr w:rsidR="008F519B" w:rsidRPr="00BA6C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center"/>
              <w:rPr>
                <w:lang w:val="en-US"/>
              </w:rPr>
            </w:pPr>
            <w:r w:rsidRPr="00BA6C5E">
              <w:rPr>
                <w:lang w:val="en-US"/>
              </w:rPr>
              <w:t>4</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left"/>
              <w:rPr>
                <w:lang w:val="en-US"/>
              </w:rPr>
            </w:pPr>
            <w:r w:rsidRPr="00BA6C5E">
              <w:rPr>
                <w:color w:val="000000"/>
                <w:lang w:val="en-GB"/>
              </w:rPr>
              <w:t>Facilities and learning resources</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left"/>
              <w:rPr>
                <w:lang w:val="en-US"/>
              </w:rPr>
            </w:pPr>
            <w:r w:rsidRPr="00BA6C5E">
              <w:rPr>
                <w:lang w:val="en-US"/>
              </w:rPr>
              <w:t> 4</w:t>
            </w:r>
          </w:p>
        </w:tc>
      </w:tr>
      <w:tr w:rsidR="008F519B" w:rsidRPr="00BA6C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center"/>
              <w:rPr>
                <w:lang w:val="en-US"/>
              </w:rPr>
            </w:pPr>
            <w:r w:rsidRPr="00BA6C5E">
              <w:rPr>
                <w:lang w:val="en-US"/>
              </w:rPr>
              <w:t>5</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numPr>
                <w:ilvl w:val="8"/>
                <w:numId w:val="1"/>
              </w:numPr>
              <w:tabs>
                <w:tab w:val="clear" w:pos="360"/>
                <w:tab w:val="num" w:pos="0"/>
              </w:tabs>
              <w:spacing w:line="240" w:lineRule="auto"/>
              <w:rPr>
                <w:color w:val="000000"/>
                <w:lang w:val="en-GB"/>
              </w:rPr>
            </w:pPr>
            <w:r w:rsidRPr="00BA6C5E">
              <w:rPr>
                <w:color w:val="000000"/>
                <w:lang w:val="en-GB"/>
              </w:rPr>
              <w:t>Study process and student assessment</w:t>
            </w:r>
            <w:r w:rsidRPr="00BA6C5E">
              <w:rPr>
                <w:lang w:val="en-US"/>
              </w:rPr>
              <w:t xml:space="preserve"> (</w:t>
            </w:r>
            <w:r w:rsidRPr="00BA6C5E">
              <w:rPr>
                <w:lang w:val="en-GB"/>
              </w:rPr>
              <w:t>student admission</w:t>
            </w:r>
            <w:r w:rsidRPr="00BA6C5E">
              <w:rPr>
                <w:color w:val="000000"/>
                <w:lang w:val="en-GB"/>
              </w:rPr>
              <w:t>,</w:t>
            </w:r>
            <w:r w:rsidRPr="00BA6C5E">
              <w:rPr>
                <w:lang w:val="en-GB"/>
              </w:rPr>
              <w:t xml:space="preserve">  </w:t>
            </w:r>
            <w:r w:rsidRPr="00BA6C5E">
              <w:rPr>
                <w:color w:val="000000"/>
                <w:lang w:val="en-GB"/>
              </w:rPr>
              <w:t>s</w:t>
            </w:r>
            <w:r w:rsidRPr="00BA6C5E">
              <w:rPr>
                <w:lang w:val="en-GB"/>
              </w:rPr>
              <w:t xml:space="preserve">tudent support,  student </w:t>
            </w:r>
            <w:r w:rsidRPr="00BA6C5E">
              <w:rPr>
                <w:color w:val="000000"/>
                <w:lang w:val="en-GB"/>
              </w:rPr>
              <w:t>a</w:t>
            </w:r>
            <w:r w:rsidRPr="00BA6C5E">
              <w:rPr>
                <w:lang w:val="en-GB"/>
              </w:rPr>
              <w:t xml:space="preserve">chievement assessment)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left"/>
              <w:rPr>
                <w:lang w:val="en-US"/>
              </w:rPr>
            </w:pPr>
            <w:r w:rsidRPr="00BA6C5E">
              <w:rPr>
                <w:lang w:val="en-US"/>
              </w:rPr>
              <w:t> 4</w:t>
            </w:r>
          </w:p>
        </w:tc>
      </w:tr>
      <w:tr w:rsidR="008F519B" w:rsidRPr="00BA6C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center"/>
              <w:rPr>
                <w:lang w:val="en-US"/>
              </w:rPr>
            </w:pPr>
            <w:r w:rsidRPr="00BA6C5E">
              <w:rPr>
                <w:lang w:val="en-US"/>
              </w:rPr>
              <w:t>6</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left"/>
              <w:rPr>
                <w:lang w:val="en-US"/>
              </w:rPr>
            </w:pPr>
            <w:r>
              <w:rPr>
                <w:color w:val="000000"/>
                <w:lang w:val="en-GB"/>
              </w:rPr>
              <w:t>Program</w:t>
            </w:r>
            <w:r w:rsidRPr="00BA6C5E">
              <w:rPr>
                <w:color w:val="000000"/>
                <w:lang w:val="en-GB"/>
              </w:rPr>
              <w:t xml:space="preserve"> management</w:t>
            </w:r>
            <w:r w:rsidRPr="00BA6C5E">
              <w:rPr>
                <w:lang w:val="en-US"/>
              </w:rPr>
              <w:t xml:space="preserve"> (</w:t>
            </w:r>
            <w:r>
              <w:rPr>
                <w:lang w:val="en-GB"/>
              </w:rPr>
              <w:t>program</w:t>
            </w:r>
            <w:r w:rsidRPr="00BA6C5E">
              <w:rPr>
                <w:lang w:val="en-GB"/>
              </w:rPr>
              <w:t xml:space="preserve"> administration</w:t>
            </w:r>
            <w:r w:rsidRPr="00BA6C5E">
              <w:rPr>
                <w:lang w:val="en-US"/>
              </w:rPr>
              <w:t xml:space="preserve">, </w:t>
            </w:r>
            <w:r w:rsidRPr="00BA6C5E">
              <w:rPr>
                <w:lang w:val="en-GB"/>
              </w:rPr>
              <w:t>internal quality assurance</w:t>
            </w:r>
            <w:r w:rsidRPr="00BA6C5E">
              <w:rPr>
                <w:lang w:val="en-US"/>
              </w:rPr>
              <w:t>)</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left"/>
              <w:rPr>
                <w:lang w:val="en-US"/>
              </w:rPr>
            </w:pPr>
            <w:r w:rsidRPr="00BA6C5E">
              <w:rPr>
                <w:lang w:val="en-US"/>
              </w:rPr>
              <w:t> 4</w:t>
            </w:r>
          </w:p>
        </w:tc>
      </w:tr>
      <w:tr w:rsidR="008F519B" w:rsidRPr="00BA6C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left"/>
              <w:rPr>
                <w:lang w:val="en-US"/>
              </w:rPr>
            </w:pPr>
            <w:r w:rsidRPr="00BA6C5E">
              <w:rPr>
                <w:lang w:val="en-US"/>
              </w:rPr>
              <w:t> </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FB52E6">
            <w:pPr>
              <w:spacing w:before="100" w:beforeAutospacing="1" w:after="100" w:afterAutospacing="1" w:line="240" w:lineRule="auto"/>
              <w:jc w:val="right"/>
              <w:rPr>
                <w:lang w:val="en-US"/>
              </w:rPr>
            </w:pPr>
            <w:r w:rsidRPr="00BA6C5E">
              <w:rPr>
                <w:b/>
                <w:bCs/>
                <w:lang w:val="en-US"/>
              </w:rPr>
              <w:t>Total:</w:t>
            </w:r>
            <w:r w:rsidRPr="00BA6C5E">
              <w:rPr>
                <w:lang w:val="en-US"/>
              </w:rPr>
              <w:t>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8F519B" w:rsidRPr="00BA6C5E" w:rsidRDefault="008F519B" w:rsidP="00E13EDC">
            <w:pPr>
              <w:spacing w:before="100" w:beforeAutospacing="1" w:after="100" w:afterAutospacing="1" w:line="240" w:lineRule="auto"/>
              <w:rPr>
                <w:lang w:val="en-US"/>
              </w:rPr>
            </w:pPr>
            <w:r w:rsidRPr="00BA6C5E">
              <w:rPr>
                <w:lang w:val="en-US"/>
              </w:rPr>
              <w:t>24</w:t>
            </w:r>
          </w:p>
        </w:tc>
      </w:tr>
    </w:tbl>
    <w:p w:rsidR="008F519B" w:rsidRPr="00BA6C5E" w:rsidRDefault="008F519B" w:rsidP="00FE4E78">
      <w:r w:rsidRPr="00BA6C5E">
        <w:t>*1 (unsatisfactory) - there are essential shortcomings that must be eliminated</w:t>
      </w:r>
    </w:p>
    <w:p w:rsidR="008F519B" w:rsidRPr="00BA6C5E" w:rsidRDefault="008F519B" w:rsidP="00FE4E78">
      <w:r w:rsidRPr="00BA6C5E">
        <w:t>2  (poor) - meets the established minimum requirements, needs improvement</w:t>
      </w:r>
    </w:p>
    <w:p w:rsidR="008F519B" w:rsidRPr="00BA6C5E" w:rsidRDefault="008F519B" w:rsidP="00FE4E78">
      <w:r w:rsidRPr="00BA6C5E">
        <w:t xml:space="preserve">3  (good) - the area develops systematically, has distinctive features </w:t>
      </w:r>
    </w:p>
    <w:p w:rsidR="008F519B" w:rsidRPr="00BA6C5E" w:rsidRDefault="008F519B" w:rsidP="00FE4E78">
      <w:r w:rsidRPr="00BA6C5E">
        <w:t>4  (very good) - the area is exceptionally good</w:t>
      </w:r>
    </w:p>
    <w:p w:rsidR="008F519B" w:rsidRPr="00BA6C5E" w:rsidRDefault="008F519B" w:rsidP="001246BF">
      <w:pPr>
        <w:rPr>
          <w:lang w:val="en-GB"/>
        </w:rPr>
      </w:pPr>
    </w:p>
    <w:p w:rsidR="008F519B" w:rsidRPr="00BA6C5E" w:rsidRDefault="008F519B" w:rsidP="001246BF">
      <w:pPr>
        <w:rPr>
          <w:lang w:val="en-GB"/>
        </w:rPr>
      </w:pPr>
    </w:p>
    <w:sectPr w:rsidR="008F519B" w:rsidRPr="00BA6C5E" w:rsidSect="009E31BD">
      <w:footerReference w:type="even" r:id="rId8"/>
      <w:footerReference w:type="default" r:id="rId9"/>
      <w:footerReference w:type="first" r:id="rId10"/>
      <w:pgSz w:w="11906" w:h="16838"/>
      <w:pgMar w:top="1134" w:right="851"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19B" w:rsidRDefault="008F519B">
      <w:r>
        <w:separator/>
      </w:r>
    </w:p>
  </w:endnote>
  <w:endnote w:type="continuationSeparator" w:id="0">
    <w:p w:rsidR="008F519B" w:rsidRDefault="008F5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19B" w:rsidRDefault="008F519B" w:rsidP="000C2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519B" w:rsidRDefault="008F5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19B" w:rsidRDefault="008F519B" w:rsidP="000C2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F519B" w:rsidRPr="0074133A" w:rsidRDefault="008F519B" w:rsidP="00277C4A">
    <w:pPr>
      <w:spacing w:line="240" w:lineRule="auto"/>
    </w:pPr>
    <w:r>
      <w:t xml:space="preserve">Studijų kokybės vertinimo centras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19B" w:rsidRPr="007D78EF" w:rsidRDefault="008F519B" w:rsidP="00277C4A">
    <w:pPr>
      <w:spacing w:line="240" w:lineRule="auto"/>
      <w:jc w:val="center"/>
      <w:rPr>
        <w:rFonts w:ascii="Book Antiqua" w:hAnsi="Book Antiqua"/>
      </w:rPr>
    </w:pPr>
    <w:r w:rsidRPr="007D78EF">
      <w:rPr>
        <w:rFonts w:ascii="Book Antiqua" w:hAnsi="Book Antiqua"/>
      </w:rPr>
      <w:t>Vilnius</w:t>
    </w:r>
  </w:p>
  <w:p w:rsidR="008F519B" w:rsidRPr="007D78EF" w:rsidRDefault="008F519B" w:rsidP="00277C4A">
    <w:pPr>
      <w:spacing w:line="240" w:lineRule="auto"/>
      <w:jc w:val="center"/>
      <w:rPr>
        <w:rFonts w:ascii="Book Antiqua" w:hAnsi="Book Antiqua"/>
      </w:rPr>
    </w:pPr>
    <w:r>
      <w:rPr>
        <w:rFonts w:ascii="Book Antiqua" w:hAnsi="Book Antiqua"/>
      </w:rPr>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19B" w:rsidRDefault="008F519B">
      <w:r>
        <w:separator/>
      </w:r>
    </w:p>
  </w:footnote>
  <w:footnote w:type="continuationSeparator" w:id="0">
    <w:p w:rsidR="008F519B" w:rsidRDefault="008F5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9CA"/>
    <w:multiLevelType w:val="hybridMultilevel"/>
    <w:tmpl w:val="585411D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2">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
    <w:nsid w:val="1EFE3B01"/>
    <w:multiLevelType w:val="hybridMultilevel"/>
    <w:tmpl w:val="15BC2B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851"/>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33A"/>
    <w:rsid w:val="00012344"/>
    <w:rsid w:val="00017348"/>
    <w:rsid w:val="00021EDA"/>
    <w:rsid w:val="000223D5"/>
    <w:rsid w:val="000235AB"/>
    <w:rsid w:val="000259E5"/>
    <w:rsid w:val="00026CFF"/>
    <w:rsid w:val="000647BA"/>
    <w:rsid w:val="00075798"/>
    <w:rsid w:val="000828EC"/>
    <w:rsid w:val="000902DB"/>
    <w:rsid w:val="00093E7F"/>
    <w:rsid w:val="000970A6"/>
    <w:rsid w:val="000A3813"/>
    <w:rsid w:val="000A5FF4"/>
    <w:rsid w:val="000A7B47"/>
    <w:rsid w:val="000A7C4A"/>
    <w:rsid w:val="000B6A2F"/>
    <w:rsid w:val="000C2A8C"/>
    <w:rsid w:val="000C50DB"/>
    <w:rsid w:val="000D1D61"/>
    <w:rsid w:val="000D4A4A"/>
    <w:rsid w:val="000E76D4"/>
    <w:rsid w:val="000F4C28"/>
    <w:rsid w:val="001246BF"/>
    <w:rsid w:val="00125198"/>
    <w:rsid w:val="00126477"/>
    <w:rsid w:val="00141DCB"/>
    <w:rsid w:val="00152626"/>
    <w:rsid w:val="00162C92"/>
    <w:rsid w:val="00170D41"/>
    <w:rsid w:val="00174068"/>
    <w:rsid w:val="00175649"/>
    <w:rsid w:val="00185153"/>
    <w:rsid w:val="00187D0C"/>
    <w:rsid w:val="00192801"/>
    <w:rsid w:val="00197570"/>
    <w:rsid w:val="001A499B"/>
    <w:rsid w:val="001B1E30"/>
    <w:rsid w:val="001C3820"/>
    <w:rsid w:val="001D1D1E"/>
    <w:rsid w:val="001D22A0"/>
    <w:rsid w:val="001D2932"/>
    <w:rsid w:val="001D33DA"/>
    <w:rsid w:val="001D5B09"/>
    <w:rsid w:val="001E1CF6"/>
    <w:rsid w:val="001E2216"/>
    <w:rsid w:val="001E3503"/>
    <w:rsid w:val="001E3B25"/>
    <w:rsid w:val="001F029B"/>
    <w:rsid w:val="001F1D28"/>
    <w:rsid w:val="001F2F9D"/>
    <w:rsid w:val="001F3956"/>
    <w:rsid w:val="0020453F"/>
    <w:rsid w:val="002119A9"/>
    <w:rsid w:val="00212B7D"/>
    <w:rsid w:val="0021611F"/>
    <w:rsid w:val="00221528"/>
    <w:rsid w:val="00222DBC"/>
    <w:rsid w:val="002305D9"/>
    <w:rsid w:val="002503B8"/>
    <w:rsid w:val="002537D3"/>
    <w:rsid w:val="002637DD"/>
    <w:rsid w:val="00276674"/>
    <w:rsid w:val="00277C4A"/>
    <w:rsid w:val="002934A9"/>
    <w:rsid w:val="002B51BA"/>
    <w:rsid w:val="002B553C"/>
    <w:rsid w:val="002D64AE"/>
    <w:rsid w:val="002E1A48"/>
    <w:rsid w:val="002E2501"/>
    <w:rsid w:val="002F1B18"/>
    <w:rsid w:val="002F58B7"/>
    <w:rsid w:val="002F738B"/>
    <w:rsid w:val="0030180A"/>
    <w:rsid w:val="00310263"/>
    <w:rsid w:val="003110CF"/>
    <w:rsid w:val="00312280"/>
    <w:rsid w:val="00312D0F"/>
    <w:rsid w:val="003160AF"/>
    <w:rsid w:val="00317286"/>
    <w:rsid w:val="00317AA5"/>
    <w:rsid w:val="003340BC"/>
    <w:rsid w:val="00334B62"/>
    <w:rsid w:val="00336676"/>
    <w:rsid w:val="003378CA"/>
    <w:rsid w:val="003429E3"/>
    <w:rsid w:val="00344E79"/>
    <w:rsid w:val="0035223B"/>
    <w:rsid w:val="00352D48"/>
    <w:rsid w:val="003544A0"/>
    <w:rsid w:val="003558BE"/>
    <w:rsid w:val="00357F9C"/>
    <w:rsid w:val="003623C9"/>
    <w:rsid w:val="00371FDD"/>
    <w:rsid w:val="0037521F"/>
    <w:rsid w:val="00384494"/>
    <w:rsid w:val="003A128B"/>
    <w:rsid w:val="003A228F"/>
    <w:rsid w:val="003A22DD"/>
    <w:rsid w:val="003A6573"/>
    <w:rsid w:val="003B1B01"/>
    <w:rsid w:val="003C0F34"/>
    <w:rsid w:val="003C7753"/>
    <w:rsid w:val="003D0AA6"/>
    <w:rsid w:val="003D18F4"/>
    <w:rsid w:val="003E6FA4"/>
    <w:rsid w:val="003F5E73"/>
    <w:rsid w:val="003F61E8"/>
    <w:rsid w:val="004066D7"/>
    <w:rsid w:val="004140EA"/>
    <w:rsid w:val="00415C36"/>
    <w:rsid w:val="00434816"/>
    <w:rsid w:val="004403E4"/>
    <w:rsid w:val="00444B05"/>
    <w:rsid w:val="0045415C"/>
    <w:rsid w:val="0045546C"/>
    <w:rsid w:val="00457F6B"/>
    <w:rsid w:val="00460EBF"/>
    <w:rsid w:val="00461D90"/>
    <w:rsid w:val="00465257"/>
    <w:rsid w:val="00471627"/>
    <w:rsid w:val="00472608"/>
    <w:rsid w:val="00496C0F"/>
    <w:rsid w:val="004A0DAA"/>
    <w:rsid w:val="004B55CC"/>
    <w:rsid w:val="004C369D"/>
    <w:rsid w:val="004D34D4"/>
    <w:rsid w:val="004D4050"/>
    <w:rsid w:val="004E151A"/>
    <w:rsid w:val="004E3039"/>
    <w:rsid w:val="005078D4"/>
    <w:rsid w:val="00521AF3"/>
    <w:rsid w:val="00523E4C"/>
    <w:rsid w:val="00530993"/>
    <w:rsid w:val="00543B1E"/>
    <w:rsid w:val="00544F34"/>
    <w:rsid w:val="005527A1"/>
    <w:rsid w:val="00561477"/>
    <w:rsid w:val="00562F98"/>
    <w:rsid w:val="00570B57"/>
    <w:rsid w:val="0059317F"/>
    <w:rsid w:val="00593F6E"/>
    <w:rsid w:val="005B7E8D"/>
    <w:rsid w:val="005C03E2"/>
    <w:rsid w:val="005C0801"/>
    <w:rsid w:val="005C38CE"/>
    <w:rsid w:val="005C4BBD"/>
    <w:rsid w:val="005D324B"/>
    <w:rsid w:val="005D48D0"/>
    <w:rsid w:val="005D49C2"/>
    <w:rsid w:val="005D55D5"/>
    <w:rsid w:val="005F0C37"/>
    <w:rsid w:val="005F4096"/>
    <w:rsid w:val="006115D4"/>
    <w:rsid w:val="00612080"/>
    <w:rsid w:val="00616259"/>
    <w:rsid w:val="00616E10"/>
    <w:rsid w:val="006222FE"/>
    <w:rsid w:val="0062500E"/>
    <w:rsid w:val="00627DB1"/>
    <w:rsid w:val="006301ED"/>
    <w:rsid w:val="006334AD"/>
    <w:rsid w:val="00636D6F"/>
    <w:rsid w:val="00641D90"/>
    <w:rsid w:val="0065361B"/>
    <w:rsid w:val="00654B29"/>
    <w:rsid w:val="00660E1F"/>
    <w:rsid w:val="0066260A"/>
    <w:rsid w:val="0066361A"/>
    <w:rsid w:val="006B3086"/>
    <w:rsid w:val="006B60C7"/>
    <w:rsid w:val="006C028D"/>
    <w:rsid w:val="006C5327"/>
    <w:rsid w:val="006C56E2"/>
    <w:rsid w:val="006D3DF7"/>
    <w:rsid w:val="006D48F9"/>
    <w:rsid w:val="006D4BA2"/>
    <w:rsid w:val="006D56B2"/>
    <w:rsid w:val="006D5990"/>
    <w:rsid w:val="006D5CBB"/>
    <w:rsid w:val="006E07A0"/>
    <w:rsid w:val="006E3B12"/>
    <w:rsid w:val="006F7D24"/>
    <w:rsid w:val="007038A3"/>
    <w:rsid w:val="0070433C"/>
    <w:rsid w:val="00707BFA"/>
    <w:rsid w:val="007112F4"/>
    <w:rsid w:val="00735513"/>
    <w:rsid w:val="00737672"/>
    <w:rsid w:val="0074133A"/>
    <w:rsid w:val="00747F93"/>
    <w:rsid w:val="00755BE6"/>
    <w:rsid w:val="007626FD"/>
    <w:rsid w:val="00773F6D"/>
    <w:rsid w:val="00787E5B"/>
    <w:rsid w:val="00791622"/>
    <w:rsid w:val="007A40F9"/>
    <w:rsid w:val="007A4DEA"/>
    <w:rsid w:val="007A6497"/>
    <w:rsid w:val="007B5058"/>
    <w:rsid w:val="007B7E40"/>
    <w:rsid w:val="007C2B30"/>
    <w:rsid w:val="007C51F1"/>
    <w:rsid w:val="007C5EDC"/>
    <w:rsid w:val="007D78EF"/>
    <w:rsid w:val="007E1393"/>
    <w:rsid w:val="007E1BF1"/>
    <w:rsid w:val="007E2D48"/>
    <w:rsid w:val="007F2F78"/>
    <w:rsid w:val="007F3E4D"/>
    <w:rsid w:val="007F494C"/>
    <w:rsid w:val="007F7BF1"/>
    <w:rsid w:val="00800E1E"/>
    <w:rsid w:val="008040BC"/>
    <w:rsid w:val="00804372"/>
    <w:rsid w:val="008044E5"/>
    <w:rsid w:val="00806DA4"/>
    <w:rsid w:val="0082550C"/>
    <w:rsid w:val="0083393B"/>
    <w:rsid w:val="00841CE8"/>
    <w:rsid w:val="008459A5"/>
    <w:rsid w:val="00861E33"/>
    <w:rsid w:val="008625D3"/>
    <w:rsid w:val="00865E25"/>
    <w:rsid w:val="00877F15"/>
    <w:rsid w:val="0089189E"/>
    <w:rsid w:val="00895C22"/>
    <w:rsid w:val="008A7C0A"/>
    <w:rsid w:val="008B6DDB"/>
    <w:rsid w:val="008C1639"/>
    <w:rsid w:val="008C2588"/>
    <w:rsid w:val="008C3CE7"/>
    <w:rsid w:val="008D3013"/>
    <w:rsid w:val="008E165C"/>
    <w:rsid w:val="008F19F2"/>
    <w:rsid w:val="008F519B"/>
    <w:rsid w:val="008F7E90"/>
    <w:rsid w:val="009077D7"/>
    <w:rsid w:val="0091570B"/>
    <w:rsid w:val="00937537"/>
    <w:rsid w:val="009503F3"/>
    <w:rsid w:val="00950B7D"/>
    <w:rsid w:val="00952C36"/>
    <w:rsid w:val="00954272"/>
    <w:rsid w:val="00956A32"/>
    <w:rsid w:val="00970971"/>
    <w:rsid w:val="00982DB4"/>
    <w:rsid w:val="00984F47"/>
    <w:rsid w:val="00994384"/>
    <w:rsid w:val="009A0D33"/>
    <w:rsid w:val="009A3C2B"/>
    <w:rsid w:val="009A48BD"/>
    <w:rsid w:val="009A6E90"/>
    <w:rsid w:val="009B7B3B"/>
    <w:rsid w:val="009C02A4"/>
    <w:rsid w:val="009C25B7"/>
    <w:rsid w:val="009C72D8"/>
    <w:rsid w:val="009D0812"/>
    <w:rsid w:val="009D5C2C"/>
    <w:rsid w:val="009D5E12"/>
    <w:rsid w:val="009E31BD"/>
    <w:rsid w:val="009E558A"/>
    <w:rsid w:val="009E5C89"/>
    <w:rsid w:val="00A032E0"/>
    <w:rsid w:val="00A04BFC"/>
    <w:rsid w:val="00A06461"/>
    <w:rsid w:val="00A06DAF"/>
    <w:rsid w:val="00A236E3"/>
    <w:rsid w:val="00A422D1"/>
    <w:rsid w:val="00A42B3D"/>
    <w:rsid w:val="00A46B08"/>
    <w:rsid w:val="00A578D3"/>
    <w:rsid w:val="00A814B4"/>
    <w:rsid w:val="00A911EB"/>
    <w:rsid w:val="00A9780C"/>
    <w:rsid w:val="00AA7843"/>
    <w:rsid w:val="00AB6F98"/>
    <w:rsid w:val="00AC29B3"/>
    <w:rsid w:val="00AC3D0C"/>
    <w:rsid w:val="00AC5A09"/>
    <w:rsid w:val="00AD2147"/>
    <w:rsid w:val="00AD554E"/>
    <w:rsid w:val="00AE0073"/>
    <w:rsid w:val="00AE7258"/>
    <w:rsid w:val="00AF0507"/>
    <w:rsid w:val="00AF463C"/>
    <w:rsid w:val="00B13226"/>
    <w:rsid w:val="00B349EB"/>
    <w:rsid w:val="00B47415"/>
    <w:rsid w:val="00B54D29"/>
    <w:rsid w:val="00B562F6"/>
    <w:rsid w:val="00B76328"/>
    <w:rsid w:val="00B770BE"/>
    <w:rsid w:val="00B848D7"/>
    <w:rsid w:val="00B93148"/>
    <w:rsid w:val="00B97F2F"/>
    <w:rsid w:val="00BA143C"/>
    <w:rsid w:val="00BA6C5E"/>
    <w:rsid w:val="00BA7524"/>
    <w:rsid w:val="00BB1F6D"/>
    <w:rsid w:val="00BB3132"/>
    <w:rsid w:val="00BB589A"/>
    <w:rsid w:val="00BC6AAC"/>
    <w:rsid w:val="00BC7C8A"/>
    <w:rsid w:val="00BE3BB8"/>
    <w:rsid w:val="00BE4C6D"/>
    <w:rsid w:val="00C008C7"/>
    <w:rsid w:val="00C1458B"/>
    <w:rsid w:val="00C14F00"/>
    <w:rsid w:val="00C15228"/>
    <w:rsid w:val="00C25946"/>
    <w:rsid w:val="00C3256D"/>
    <w:rsid w:val="00C4045A"/>
    <w:rsid w:val="00C43459"/>
    <w:rsid w:val="00C4719C"/>
    <w:rsid w:val="00C60EA9"/>
    <w:rsid w:val="00C70EED"/>
    <w:rsid w:val="00C710A5"/>
    <w:rsid w:val="00C7561A"/>
    <w:rsid w:val="00C76507"/>
    <w:rsid w:val="00CA41A9"/>
    <w:rsid w:val="00CD3651"/>
    <w:rsid w:val="00CD5934"/>
    <w:rsid w:val="00CE2A47"/>
    <w:rsid w:val="00D04A12"/>
    <w:rsid w:val="00D114C3"/>
    <w:rsid w:val="00D1184D"/>
    <w:rsid w:val="00D14A42"/>
    <w:rsid w:val="00D20960"/>
    <w:rsid w:val="00D22421"/>
    <w:rsid w:val="00D247DE"/>
    <w:rsid w:val="00D33340"/>
    <w:rsid w:val="00D4119D"/>
    <w:rsid w:val="00D4415F"/>
    <w:rsid w:val="00D44FD3"/>
    <w:rsid w:val="00D526D6"/>
    <w:rsid w:val="00D64690"/>
    <w:rsid w:val="00D65751"/>
    <w:rsid w:val="00D677C7"/>
    <w:rsid w:val="00D71E11"/>
    <w:rsid w:val="00D73215"/>
    <w:rsid w:val="00D856CF"/>
    <w:rsid w:val="00D961D7"/>
    <w:rsid w:val="00DA2485"/>
    <w:rsid w:val="00DA5925"/>
    <w:rsid w:val="00DB626A"/>
    <w:rsid w:val="00DC6BD4"/>
    <w:rsid w:val="00DD714E"/>
    <w:rsid w:val="00DE0DDC"/>
    <w:rsid w:val="00DE1B2B"/>
    <w:rsid w:val="00DE2B23"/>
    <w:rsid w:val="00DE4F3D"/>
    <w:rsid w:val="00E02512"/>
    <w:rsid w:val="00E1016B"/>
    <w:rsid w:val="00E12D9E"/>
    <w:rsid w:val="00E13EDC"/>
    <w:rsid w:val="00E171CA"/>
    <w:rsid w:val="00E21E27"/>
    <w:rsid w:val="00E21F5C"/>
    <w:rsid w:val="00E23405"/>
    <w:rsid w:val="00E37AFF"/>
    <w:rsid w:val="00E41997"/>
    <w:rsid w:val="00E41C8F"/>
    <w:rsid w:val="00E43245"/>
    <w:rsid w:val="00E545D3"/>
    <w:rsid w:val="00E57FAC"/>
    <w:rsid w:val="00E72E10"/>
    <w:rsid w:val="00E93A30"/>
    <w:rsid w:val="00EA1B2B"/>
    <w:rsid w:val="00EA262A"/>
    <w:rsid w:val="00EA645D"/>
    <w:rsid w:val="00EB08F8"/>
    <w:rsid w:val="00EB1F59"/>
    <w:rsid w:val="00EB3E67"/>
    <w:rsid w:val="00EC02EA"/>
    <w:rsid w:val="00EC63D1"/>
    <w:rsid w:val="00EC6F79"/>
    <w:rsid w:val="00EC7397"/>
    <w:rsid w:val="00EE4B8F"/>
    <w:rsid w:val="00EE61DA"/>
    <w:rsid w:val="00EF0966"/>
    <w:rsid w:val="00EF3EC1"/>
    <w:rsid w:val="00EF55AE"/>
    <w:rsid w:val="00EF7AB5"/>
    <w:rsid w:val="00F01BE4"/>
    <w:rsid w:val="00F04F5A"/>
    <w:rsid w:val="00F17215"/>
    <w:rsid w:val="00F35C21"/>
    <w:rsid w:val="00F41A2F"/>
    <w:rsid w:val="00F42B9F"/>
    <w:rsid w:val="00F500EF"/>
    <w:rsid w:val="00F51412"/>
    <w:rsid w:val="00F60220"/>
    <w:rsid w:val="00F6027F"/>
    <w:rsid w:val="00F74A24"/>
    <w:rsid w:val="00F84ADB"/>
    <w:rsid w:val="00F84CD8"/>
    <w:rsid w:val="00F870B9"/>
    <w:rsid w:val="00F9556F"/>
    <w:rsid w:val="00F975F8"/>
    <w:rsid w:val="00F97C22"/>
    <w:rsid w:val="00FA090D"/>
    <w:rsid w:val="00FB1AE7"/>
    <w:rsid w:val="00FB42AA"/>
    <w:rsid w:val="00FB52E6"/>
    <w:rsid w:val="00FC0B30"/>
    <w:rsid w:val="00FC3443"/>
    <w:rsid w:val="00FC6A7C"/>
    <w:rsid w:val="00FD276C"/>
    <w:rsid w:val="00FD279B"/>
    <w:rsid w:val="00FE4E78"/>
    <w:rsid w:val="00FF303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D5"/>
    <w:pPr>
      <w:spacing w:line="360" w:lineRule="auto"/>
      <w:jc w:val="both"/>
    </w:pPr>
    <w:rPr>
      <w:sz w:val="24"/>
      <w:szCs w:val="24"/>
      <w:lang w:eastAsia="en-US"/>
    </w:rPr>
  </w:style>
  <w:style w:type="paragraph" w:styleId="Heading1">
    <w:name w:val="heading 1"/>
    <w:basedOn w:val="Normal"/>
    <w:next w:val="Normal"/>
    <w:link w:val="Heading1Char"/>
    <w:uiPriority w:val="99"/>
    <w:qFormat/>
    <w:rsid w:val="00174068"/>
    <w:pPr>
      <w:keepNext/>
      <w:spacing w:line="240" w:lineRule="auto"/>
      <w:jc w:val="left"/>
      <w:outlineLvl w:val="0"/>
    </w:pPr>
    <w:rPr>
      <w:b/>
    </w:rPr>
  </w:style>
  <w:style w:type="paragraph" w:styleId="Heading2">
    <w:name w:val="heading 2"/>
    <w:basedOn w:val="Normal"/>
    <w:next w:val="Normal"/>
    <w:link w:val="Heading2Char"/>
    <w:uiPriority w:val="99"/>
    <w:qFormat/>
    <w:rsid w:val="00174068"/>
    <w:pPr>
      <w:keepNext/>
      <w:spacing w:before="240" w:after="60"/>
      <w:outlineLvl w:val="1"/>
    </w:pPr>
    <w:rPr>
      <w:b/>
      <w:bCs/>
      <w:i/>
      <w:iCs/>
      <w:lang w:val="en-GB"/>
    </w:rPr>
  </w:style>
  <w:style w:type="paragraph" w:styleId="Heading3">
    <w:name w:val="heading 3"/>
    <w:basedOn w:val="Normal"/>
    <w:next w:val="Normal"/>
    <w:link w:val="Heading3Char"/>
    <w:uiPriority w:val="99"/>
    <w:qFormat/>
    <w:rsid w:val="00174068"/>
    <w:pPr>
      <w:keepNext/>
      <w:spacing w:before="240" w:after="60"/>
      <w:outlineLvl w:val="2"/>
    </w:pPr>
    <w:rPr>
      <w:b/>
      <w:bCs/>
      <w:lang w:val="en-GB"/>
    </w:rPr>
  </w:style>
  <w:style w:type="paragraph" w:styleId="Heading6">
    <w:name w:val="heading 6"/>
    <w:basedOn w:val="Normal"/>
    <w:next w:val="Normal"/>
    <w:link w:val="Heading6Char"/>
    <w:uiPriority w:val="99"/>
    <w:qFormat/>
    <w:rsid w:val="00737672"/>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0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1570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1570B"/>
    <w:rPr>
      <w:rFonts w:ascii="Cambria" w:hAnsi="Cambria" w:cs="Times New Roman"/>
      <w:b/>
      <w:bCs/>
      <w:sz w:val="26"/>
      <w:szCs w:val="26"/>
      <w:lang w:eastAsia="en-US"/>
    </w:rPr>
  </w:style>
  <w:style w:type="character" w:customStyle="1" w:styleId="Heading6Char">
    <w:name w:val="Heading 6 Char"/>
    <w:basedOn w:val="DefaultParagraphFont"/>
    <w:link w:val="Heading6"/>
    <w:uiPriority w:val="99"/>
    <w:semiHidden/>
    <w:locked/>
    <w:rsid w:val="0091570B"/>
    <w:rPr>
      <w:rFonts w:ascii="Calibri" w:hAnsi="Calibri" w:cs="Times New Roman"/>
      <w:b/>
      <w:bCs/>
      <w:lang w:eastAsia="en-US"/>
    </w:rPr>
  </w:style>
  <w:style w:type="paragraph" w:styleId="Header">
    <w:name w:val="header"/>
    <w:basedOn w:val="Normal"/>
    <w:link w:val="HeaderChar"/>
    <w:uiPriority w:val="99"/>
    <w:rsid w:val="0074133A"/>
    <w:pPr>
      <w:tabs>
        <w:tab w:val="center" w:pos="4153"/>
        <w:tab w:val="right" w:pos="8306"/>
      </w:tabs>
      <w:spacing w:line="240" w:lineRule="auto"/>
      <w:jc w:val="left"/>
    </w:pPr>
    <w:rPr>
      <w:rFonts w:ascii="TimesLT" w:hAnsi="TimesLT"/>
    </w:rPr>
  </w:style>
  <w:style w:type="character" w:customStyle="1" w:styleId="HeaderChar">
    <w:name w:val="Header Char"/>
    <w:basedOn w:val="DefaultParagraphFont"/>
    <w:link w:val="Header"/>
    <w:uiPriority w:val="99"/>
    <w:semiHidden/>
    <w:locked/>
    <w:rsid w:val="0091570B"/>
    <w:rPr>
      <w:rFonts w:cs="Times New Roman"/>
      <w:sz w:val="24"/>
      <w:szCs w:val="24"/>
      <w:lang w:eastAsia="en-US"/>
    </w:rPr>
  </w:style>
  <w:style w:type="table" w:styleId="TableGrid">
    <w:name w:val="Table Grid"/>
    <w:basedOn w:val="TableNormal"/>
    <w:uiPriority w:val="99"/>
    <w:rsid w:val="00741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4133A"/>
    <w:pPr>
      <w:tabs>
        <w:tab w:val="center" w:pos="4819"/>
        <w:tab w:val="right" w:pos="9638"/>
      </w:tabs>
    </w:pPr>
  </w:style>
  <w:style w:type="character" w:customStyle="1" w:styleId="FooterChar">
    <w:name w:val="Footer Char"/>
    <w:basedOn w:val="DefaultParagraphFont"/>
    <w:link w:val="Footer"/>
    <w:uiPriority w:val="99"/>
    <w:semiHidden/>
    <w:locked/>
    <w:rsid w:val="0091570B"/>
    <w:rPr>
      <w:rFonts w:cs="Times New Roman"/>
      <w:sz w:val="24"/>
      <w:szCs w:val="24"/>
      <w:lang w:eastAsia="en-US"/>
    </w:rPr>
  </w:style>
  <w:style w:type="character" w:styleId="PageNumber">
    <w:name w:val="page number"/>
    <w:basedOn w:val="DefaultParagraphFont"/>
    <w:uiPriority w:val="99"/>
    <w:rsid w:val="00E37AFF"/>
    <w:rPr>
      <w:rFonts w:cs="Times New Roman"/>
    </w:rPr>
  </w:style>
  <w:style w:type="character" w:customStyle="1" w:styleId="NormalWebChar">
    <w:name w:val="Normal (Web) Char"/>
    <w:basedOn w:val="DefaultParagraphFont"/>
    <w:link w:val="NormalWeb"/>
    <w:uiPriority w:val="99"/>
    <w:locked/>
    <w:rsid w:val="00B76328"/>
    <w:rPr>
      <w:rFonts w:ascii="Arial" w:hAnsi="Arial" w:cs="Arial"/>
      <w:sz w:val="18"/>
      <w:szCs w:val="18"/>
      <w:lang w:val="en-US" w:eastAsia="en-US" w:bidi="ar-SA"/>
    </w:rPr>
  </w:style>
  <w:style w:type="paragraph" w:styleId="NormalWeb">
    <w:name w:val="Normal (Web)"/>
    <w:basedOn w:val="Normal"/>
    <w:link w:val="NormalWebChar"/>
    <w:uiPriority w:val="99"/>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Normal"/>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Normal"/>
    <w:uiPriority w:val="99"/>
    <w:rsid w:val="00465257"/>
    <w:pPr>
      <w:spacing w:before="100" w:beforeAutospacing="1" w:after="100" w:afterAutospacing="1" w:line="240" w:lineRule="auto"/>
      <w:jc w:val="left"/>
    </w:pPr>
    <w:rPr>
      <w:lang w:val="en-US"/>
    </w:rPr>
  </w:style>
  <w:style w:type="paragraph" w:customStyle="1" w:styleId="bodytext">
    <w:name w:val="bodytext"/>
    <w:basedOn w:val="Normal"/>
    <w:uiPriority w:val="99"/>
    <w:rsid w:val="00465257"/>
    <w:pPr>
      <w:spacing w:before="100" w:beforeAutospacing="1" w:after="100" w:afterAutospacing="1" w:line="240" w:lineRule="auto"/>
      <w:jc w:val="left"/>
    </w:pPr>
    <w:rPr>
      <w:lang w:val="en-US"/>
    </w:rPr>
  </w:style>
  <w:style w:type="paragraph" w:customStyle="1" w:styleId="linija">
    <w:name w:val="linija"/>
    <w:basedOn w:val="Normal"/>
    <w:uiPriority w:val="99"/>
    <w:rsid w:val="00465257"/>
    <w:pPr>
      <w:spacing w:before="100" w:beforeAutospacing="1" w:after="100" w:afterAutospacing="1" w:line="240" w:lineRule="auto"/>
      <w:jc w:val="left"/>
    </w:pPr>
    <w:rPr>
      <w:lang w:val="en-US"/>
    </w:rPr>
  </w:style>
  <w:style w:type="paragraph" w:customStyle="1" w:styleId="patvirtinta">
    <w:name w:val="patvirtinta"/>
    <w:basedOn w:val="Normal"/>
    <w:uiPriority w:val="99"/>
    <w:rsid w:val="00465257"/>
    <w:pPr>
      <w:spacing w:before="100" w:beforeAutospacing="1" w:after="100" w:afterAutospacing="1" w:line="240" w:lineRule="auto"/>
      <w:jc w:val="left"/>
    </w:pPr>
    <w:rPr>
      <w:lang w:val="en-US"/>
    </w:rPr>
  </w:style>
  <w:style w:type="paragraph" w:customStyle="1" w:styleId="centrbold">
    <w:name w:val="centrbold"/>
    <w:basedOn w:val="Normal"/>
    <w:uiPriority w:val="99"/>
    <w:rsid w:val="00465257"/>
    <w:pPr>
      <w:spacing w:before="100" w:beforeAutospacing="1" w:after="100" w:afterAutospacing="1" w:line="240" w:lineRule="auto"/>
      <w:jc w:val="left"/>
    </w:pPr>
    <w:rPr>
      <w:lang w:val="en-US"/>
    </w:rPr>
  </w:style>
  <w:style w:type="character" w:styleId="Hyperlink">
    <w:name w:val="Hyperlink"/>
    <w:basedOn w:val="DefaultParagraphFont"/>
    <w:uiPriority w:val="99"/>
    <w:rsid w:val="00841CE8"/>
    <w:rPr>
      <w:rFonts w:cs="Times New Roman"/>
      <w:color w:val="0000FF"/>
      <w:u w:val="single"/>
    </w:rPr>
  </w:style>
  <w:style w:type="character" w:styleId="FollowedHyperlink">
    <w:name w:val="FollowedHyperlink"/>
    <w:basedOn w:val="DefaultParagraphFont"/>
    <w:uiPriority w:val="99"/>
    <w:rsid w:val="00AC29B3"/>
    <w:rPr>
      <w:rFonts w:cs="Times New Roman"/>
      <w:color w:val="800080"/>
      <w:u w:val="single"/>
    </w:rPr>
  </w:style>
  <w:style w:type="paragraph" w:styleId="TOC1">
    <w:name w:val="toc 1"/>
    <w:basedOn w:val="Normal"/>
    <w:next w:val="Normal"/>
    <w:autoRedefine/>
    <w:uiPriority w:val="99"/>
    <w:semiHidden/>
    <w:rsid w:val="00174068"/>
    <w:pPr>
      <w:tabs>
        <w:tab w:val="right" w:leader="dot" w:pos="9344"/>
      </w:tabs>
    </w:pPr>
  </w:style>
  <w:style w:type="paragraph" w:styleId="TOC2">
    <w:name w:val="toc 2"/>
    <w:basedOn w:val="Normal"/>
    <w:next w:val="Normal"/>
    <w:autoRedefine/>
    <w:uiPriority w:val="99"/>
    <w:semiHidden/>
    <w:rsid w:val="00174068"/>
    <w:pPr>
      <w:ind w:left="240"/>
    </w:pPr>
  </w:style>
  <w:style w:type="paragraph" w:styleId="TOC3">
    <w:name w:val="toc 3"/>
    <w:basedOn w:val="Normal"/>
    <w:next w:val="Normal"/>
    <w:autoRedefine/>
    <w:uiPriority w:val="99"/>
    <w:semiHidden/>
    <w:rsid w:val="00174068"/>
    <w:pPr>
      <w:ind w:left="480"/>
    </w:pPr>
  </w:style>
  <w:style w:type="character" w:customStyle="1" w:styleId="longtext1">
    <w:name w:val="long_text1"/>
    <w:basedOn w:val="DefaultParagraphFont"/>
    <w:uiPriority w:val="99"/>
    <w:rsid w:val="003544A0"/>
    <w:rPr>
      <w:rFonts w:cs="Times New Roman"/>
      <w:sz w:val="20"/>
      <w:szCs w:val="20"/>
    </w:rPr>
  </w:style>
  <w:style w:type="paragraph" w:customStyle="1" w:styleId="Bodytext0">
    <w:name w:val="Body text"/>
    <w:uiPriority w:val="99"/>
    <w:rsid w:val="003544A0"/>
    <w:pPr>
      <w:ind w:firstLine="312"/>
      <w:jc w:val="both"/>
    </w:pPr>
    <w:rPr>
      <w:rFonts w:ascii="TimesLT" w:hAnsi="TimesLT"/>
      <w:sz w:val="20"/>
      <w:szCs w:val="20"/>
      <w:lang w:val="en-US" w:eastAsia="en-US"/>
    </w:rPr>
  </w:style>
  <w:style w:type="character" w:customStyle="1" w:styleId="hw">
    <w:name w:val="hw"/>
    <w:basedOn w:val="DefaultParagraphFont"/>
    <w:uiPriority w:val="99"/>
    <w:rsid w:val="003544A0"/>
    <w:rPr>
      <w:rFonts w:ascii="Arial" w:hAnsi="Arial" w:cs="Arial"/>
      <w:b/>
      <w:bCs/>
      <w:color w:val="A52A2A"/>
    </w:rPr>
  </w:style>
  <w:style w:type="paragraph" w:styleId="BalloonText">
    <w:name w:val="Balloon Text"/>
    <w:basedOn w:val="Normal"/>
    <w:link w:val="BalloonTextChar"/>
    <w:uiPriority w:val="99"/>
    <w:rsid w:val="005B7E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B7E8D"/>
    <w:rPr>
      <w:rFonts w:ascii="Tahoma" w:hAnsi="Tahoma" w:cs="Tahoma"/>
      <w:sz w:val="16"/>
      <w:szCs w:val="16"/>
      <w:lang w:val="lt-LT" w:eastAsia="en-US"/>
    </w:rPr>
  </w:style>
</w:styles>
</file>

<file path=word/webSettings.xml><?xml version="1.0" encoding="utf-8"?>
<w:webSettings xmlns:r="http://schemas.openxmlformats.org/officeDocument/2006/relationships" xmlns:w="http://schemas.openxmlformats.org/wordprocessingml/2006/main">
  <w:divs>
    <w:div w:id="1358920483">
      <w:marLeft w:val="0"/>
      <w:marRight w:val="0"/>
      <w:marTop w:val="0"/>
      <w:marBottom w:val="0"/>
      <w:divBdr>
        <w:top w:val="none" w:sz="0" w:space="0" w:color="auto"/>
        <w:left w:val="none" w:sz="0" w:space="0" w:color="auto"/>
        <w:bottom w:val="none" w:sz="0" w:space="0" w:color="auto"/>
        <w:right w:val="none" w:sz="0" w:space="0" w:color="auto"/>
      </w:divBdr>
    </w:div>
    <w:div w:id="1358920484">
      <w:marLeft w:val="225"/>
      <w:marRight w:val="225"/>
      <w:marTop w:val="0"/>
      <w:marBottom w:val="0"/>
      <w:divBdr>
        <w:top w:val="none" w:sz="0" w:space="0" w:color="auto"/>
        <w:left w:val="none" w:sz="0" w:space="0" w:color="auto"/>
        <w:bottom w:val="none" w:sz="0" w:space="0" w:color="auto"/>
        <w:right w:val="none" w:sz="0" w:space="0" w:color="auto"/>
      </w:divBdr>
      <w:divsChild>
        <w:div w:id="1358920482">
          <w:marLeft w:val="0"/>
          <w:marRight w:val="0"/>
          <w:marTop w:val="0"/>
          <w:marBottom w:val="0"/>
          <w:divBdr>
            <w:top w:val="none" w:sz="0" w:space="0" w:color="auto"/>
            <w:left w:val="none" w:sz="0" w:space="0" w:color="auto"/>
            <w:bottom w:val="none" w:sz="0" w:space="0" w:color="auto"/>
            <w:right w:val="none" w:sz="0" w:space="0" w:color="auto"/>
          </w:divBdr>
        </w:div>
      </w:divsChild>
    </w:div>
    <w:div w:id="1358920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08DC142-722E-4AD7-9ED8-8B40C34B4B25}"/>
</file>

<file path=customXml/itemProps2.xml><?xml version="1.0" encoding="utf-8"?>
<ds:datastoreItem xmlns:ds="http://schemas.openxmlformats.org/officeDocument/2006/customXml" ds:itemID="{D8556ACB-D3B1-49F7-B36F-73248F6AB46D}"/>
</file>

<file path=customXml/itemProps3.xml><?xml version="1.0" encoding="utf-8"?>
<ds:datastoreItem xmlns:ds="http://schemas.openxmlformats.org/officeDocument/2006/customXml" ds:itemID="{F630AEB5-6B4E-4D5E-8FB8-8A5B5CDAE860}"/>
</file>

<file path=docProps/app.xml><?xml version="1.0" encoding="utf-8"?>
<Properties xmlns="http://schemas.openxmlformats.org/officeDocument/2006/extended-properties" xmlns:vt="http://schemas.openxmlformats.org/officeDocument/2006/docPropsVTypes">
  <Template>Normal_Wordconv.dotm</Template>
  <TotalTime>10</TotalTime>
  <Pages>15</Pages>
  <Words>26036</Words>
  <Characters>14842</Characters>
  <Application>Microsoft Office Outlook</Application>
  <DocSecurity>0</DocSecurity>
  <Lines>0</Lines>
  <Paragraphs>0</Paragraphs>
  <ScaleCrop>false</ScaleCrop>
  <Company>SKVC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a.kundrotaite</dc:creator>
  <cp:keywords/>
  <dc:description/>
  <cp:lastModifiedBy>d.buivydiene</cp:lastModifiedBy>
  <cp:revision>6</cp:revision>
  <cp:lastPrinted>2010-10-16T12:34:00Z</cp:lastPrinted>
  <dcterms:created xsi:type="dcterms:W3CDTF">2010-11-01T17:14:00Z</dcterms:created>
  <dcterms:modified xsi:type="dcterms:W3CDTF">2011-01-25T07:17:00Z</dcterms:modified>
</cp:coreProperties>
</file>